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4DF5A" w14:textId="77777777" w:rsidR="00680766" w:rsidRPr="005C5FA0" w:rsidRDefault="00680766" w:rsidP="003B2C92">
      <w:pPr>
        <w:pBdr>
          <w:bottom w:val="single" w:sz="18" w:space="1" w:color="053A63"/>
        </w:pBdr>
        <w:spacing w:line="240" w:lineRule="auto"/>
        <w:jc w:val="center"/>
        <w:rPr>
          <w:rFonts w:ascii="Verdana" w:hAnsi="Verdana"/>
        </w:rPr>
      </w:pPr>
      <w:bookmarkStart w:id="0" w:name="_GoBack"/>
      <w:bookmarkEnd w:id="0"/>
      <w:r w:rsidRPr="00680766">
        <w:rPr>
          <w:rFonts w:ascii="Verdana" w:hAnsi="Verdana"/>
          <w:b/>
          <w:color w:val="053A63"/>
          <w:sz w:val="32"/>
          <w:szCs w:val="32"/>
        </w:rPr>
        <w:t>Frequently Asked Questions</w:t>
      </w:r>
    </w:p>
    <w:p w14:paraId="34C806D1" w14:textId="008A47BA" w:rsidR="00680766" w:rsidRDefault="000F2945" w:rsidP="000F2945">
      <w:pPr>
        <w:spacing w:line="240" w:lineRule="auto"/>
        <w:jc w:val="both"/>
        <w:rPr>
          <w:rFonts w:ascii="Verdana" w:eastAsia="Calibri" w:hAnsi="Verdana" w:cs="Times New Roman"/>
          <w:sz w:val="24"/>
          <w:szCs w:val="24"/>
        </w:rPr>
      </w:pPr>
      <w:bookmarkStart w:id="1" w:name="_Hlk93498203"/>
      <w:r w:rsidRPr="000F2945">
        <w:rPr>
          <w:rFonts w:ascii="Verdana" w:eastAsia="Calibri" w:hAnsi="Verdana" w:cs="Times New Roman"/>
          <w:sz w:val="24"/>
          <w:szCs w:val="24"/>
        </w:rPr>
        <w:t>To better assist local officials and practitioners in understanding and complying with the 2022 Act 669 Schedule of Collections, Distributions, and Costs of Collection, the Louisiana Legislative Auditor (LLA) has compiled these frequently asked questions (FAQs) based on feedback received since their release. The LLA will continue to update these FAQs regularly to address any emerging questions or concerns.</w:t>
      </w:r>
    </w:p>
    <w:p w14:paraId="686F7828" w14:textId="77777777" w:rsidR="007E4E03" w:rsidRDefault="007E4E03" w:rsidP="000F2945">
      <w:pPr>
        <w:autoSpaceDE w:val="0"/>
        <w:autoSpaceDN w:val="0"/>
        <w:adjustRightInd w:val="0"/>
        <w:spacing w:line="240" w:lineRule="auto"/>
        <w:jc w:val="both"/>
        <w:rPr>
          <w:rFonts w:ascii="Verdana" w:eastAsia="Calibri" w:hAnsi="Verdana" w:cs="Times New Roman"/>
          <w:b/>
          <w:i/>
          <w:sz w:val="24"/>
          <w:szCs w:val="24"/>
          <w:u w:val="single"/>
        </w:rPr>
      </w:pPr>
    </w:p>
    <w:p w14:paraId="78BA4F92" w14:textId="3A6C5115" w:rsidR="00680766" w:rsidRPr="00680766" w:rsidRDefault="00680766" w:rsidP="000F2945">
      <w:pPr>
        <w:autoSpaceDE w:val="0"/>
        <w:autoSpaceDN w:val="0"/>
        <w:adjustRightInd w:val="0"/>
        <w:spacing w:line="240" w:lineRule="auto"/>
        <w:jc w:val="both"/>
        <w:rPr>
          <w:rFonts w:ascii="Verdana" w:eastAsia="Calibri" w:hAnsi="Verdana" w:cs="Times New Roman"/>
          <w:b/>
          <w:i/>
          <w:sz w:val="24"/>
          <w:szCs w:val="24"/>
          <w:u w:val="single"/>
        </w:rPr>
      </w:pPr>
      <w:r w:rsidRPr="00680766">
        <w:rPr>
          <w:rFonts w:ascii="Verdana" w:eastAsia="Calibri" w:hAnsi="Verdana" w:cs="Times New Roman"/>
          <w:b/>
          <w:i/>
          <w:sz w:val="24"/>
          <w:szCs w:val="24"/>
          <w:u w:val="single"/>
        </w:rPr>
        <w:t>General Require</w:t>
      </w:r>
      <w:bookmarkStart w:id="2" w:name="Requirements"/>
      <w:bookmarkEnd w:id="2"/>
      <w:r w:rsidRPr="00680766">
        <w:rPr>
          <w:rFonts w:ascii="Verdana" w:eastAsia="Calibri" w:hAnsi="Verdana" w:cs="Times New Roman"/>
          <w:b/>
          <w:i/>
          <w:sz w:val="24"/>
          <w:szCs w:val="24"/>
          <w:u w:val="single"/>
        </w:rPr>
        <w:t xml:space="preserve">ments </w:t>
      </w:r>
    </w:p>
    <w:bookmarkEnd w:id="1"/>
    <w:p w14:paraId="2502D6ED" w14:textId="2791ED35" w:rsidR="000F2945" w:rsidRDefault="000F2945" w:rsidP="000F2945">
      <w:pPr>
        <w:pStyle w:val="ListParagraph"/>
        <w:numPr>
          <w:ilvl w:val="0"/>
          <w:numId w:val="4"/>
        </w:numPr>
        <w:spacing w:afterLines="200" w:after="480"/>
        <w:contextualSpacing w:val="0"/>
        <w:jc w:val="both"/>
        <w:rPr>
          <w:rFonts w:ascii="Verdana" w:hAnsi="Verdana"/>
          <w:szCs w:val="24"/>
        </w:rPr>
      </w:pPr>
      <w:r w:rsidRPr="001C08B4">
        <w:rPr>
          <w:rFonts w:ascii="Verdana" w:hAnsi="Verdana"/>
          <w:szCs w:val="24"/>
        </w:rPr>
        <w:t xml:space="preserve">Is </w:t>
      </w:r>
      <w:r>
        <w:rPr>
          <w:rFonts w:ascii="Verdana" w:hAnsi="Verdana"/>
          <w:szCs w:val="24"/>
        </w:rPr>
        <w:t>an in-relation</w:t>
      </w:r>
      <w:r w:rsidR="00222551">
        <w:rPr>
          <w:rFonts w:ascii="Verdana" w:hAnsi="Verdana"/>
          <w:szCs w:val="24"/>
        </w:rPr>
        <w:t xml:space="preserve"> to</w:t>
      </w:r>
      <w:r>
        <w:rPr>
          <w:rFonts w:ascii="Verdana" w:hAnsi="Verdana"/>
          <w:szCs w:val="24"/>
        </w:rPr>
        <w:t xml:space="preserve"> </w:t>
      </w:r>
      <w:r w:rsidR="00222551">
        <w:rPr>
          <w:rFonts w:ascii="Verdana" w:hAnsi="Verdana"/>
          <w:szCs w:val="24"/>
        </w:rPr>
        <w:t xml:space="preserve">(the financial statements as a whole) </w:t>
      </w:r>
      <w:r>
        <w:rPr>
          <w:rFonts w:ascii="Verdana" w:hAnsi="Verdana"/>
          <w:szCs w:val="24"/>
        </w:rPr>
        <w:t>opinion required for the Schedule of Collections, Distributions, and Costs of Collection</w:t>
      </w:r>
      <w:r w:rsidRPr="001C08B4">
        <w:rPr>
          <w:rFonts w:ascii="Verdana" w:hAnsi="Verdana"/>
          <w:szCs w:val="24"/>
        </w:rPr>
        <w:t>?</w:t>
      </w:r>
    </w:p>
    <w:p w14:paraId="78FC14AA" w14:textId="68E79500" w:rsidR="000F2945" w:rsidRPr="000F2945" w:rsidRDefault="000F2945" w:rsidP="000F2945">
      <w:pPr>
        <w:numPr>
          <w:ilvl w:val="1"/>
          <w:numId w:val="4"/>
        </w:numPr>
        <w:spacing w:line="240" w:lineRule="auto"/>
        <w:jc w:val="both"/>
        <w:rPr>
          <w:rFonts w:ascii="Verdana" w:eastAsia="Calibri" w:hAnsi="Verdana" w:cs="Times New Roman"/>
          <w:color w:val="4F81BD"/>
          <w:sz w:val="24"/>
          <w:szCs w:val="24"/>
        </w:rPr>
      </w:pPr>
      <w:r w:rsidRPr="000F2945">
        <w:rPr>
          <w:rFonts w:ascii="Verdana" w:eastAsia="Calibri" w:hAnsi="Verdana" w:cs="Times New Roman"/>
          <w:color w:val="4F81BD"/>
          <w:sz w:val="24"/>
          <w:szCs w:val="24"/>
        </w:rPr>
        <w:t>Yes. The Schedule of Collections, Distributions, and Costs of Collection should be included in the local government’s audit report as supplementary information, requiring an in-relation</w:t>
      </w:r>
      <w:r w:rsidR="00222551">
        <w:rPr>
          <w:rFonts w:ascii="Verdana" w:eastAsia="Calibri" w:hAnsi="Verdana" w:cs="Times New Roman"/>
          <w:color w:val="4F81BD"/>
          <w:sz w:val="24"/>
          <w:szCs w:val="24"/>
        </w:rPr>
        <w:t xml:space="preserve"> to</w:t>
      </w:r>
      <w:r w:rsidRPr="000F2945">
        <w:rPr>
          <w:rFonts w:ascii="Verdana" w:eastAsia="Calibri" w:hAnsi="Verdana" w:cs="Times New Roman"/>
          <w:color w:val="4F81BD"/>
          <w:sz w:val="24"/>
          <w:szCs w:val="24"/>
        </w:rPr>
        <w:t xml:space="preserve"> opinion for audit reports</w:t>
      </w:r>
      <w:r w:rsidR="00222551">
        <w:rPr>
          <w:rFonts w:ascii="Verdana" w:eastAsia="Calibri" w:hAnsi="Verdana" w:cs="Times New Roman"/>
          <w:color w:val="4F81BD"/>
          <w:sz w:val="24"/>
          <w:szCs w:val="24"/>
        </w:rPr>
        <w:t xml:space="preserve"> in accordance with AU-C</w:t>
      </w:r>
      <w:r w:rsidR="001D2158">
        <w:rPr>
          <w:rFonts w:ascii="Verdana" w:eastAsia="Calibri" w:hAnsi="Verdana" w:cs="Times New Roman"/>
          <w:color w:val="4F81BD"/>
          <w:sz w:val="24"/>
          <w:szCs w:val="24"/>
        </w:rPr>
        <w:t xml:space="preserve"> Section 725</w:t>
      </w:r>
      <w:r w:rsidRPr="000F2945">
        <w:rPr>
          <w:rFonts w:ascii="Verdana" w:eastAsia="Calibri" w:hAnsi="Verdana" w:cs="Times New Roman"/>
          <w:color w:val="4F81BD"/>
          <w:sz w:val="24"/>
          <w:szCs w:val="24"/>
        </w:rPr>
        <w:t xml:space="preserve">. </w:t>
      </w:r>
    </w:p>
    <w:p w14:paraId="062506D3" w14:textId="136F2BDB" w:rsidR="00680766" w:rsidRPr="00680766" w:rsidRDefault="000F2945" w:rsidP="000F2945">
      <w:pPr>
        <w:autoSpaceDE w:val="0"/>
        <w:autoSpaceDN w:val="0"/>
        <w:adjustRightInd w:val="0"/>
        <w:spacing w:line="240" w:lineRule="auto"/>
        <w:jc w:val="both"/>
        <w:rPr>
          <w:rFonts w:ascii="Verdana" w:eastAsia="Calibri" w:hAnsi="Verdana" w:cs="Times New Roman"/>
          <w:b/>
          <w:i/>
          <w:sz w:val="24"/>
          <w:szCs w:val="24"/>
          <w:u w:val="single"/>
        </w:rPr>
      </w:pPr>
      <w:r>
        <w:rPr>
          <w:rFonts w:ascii="Verdana" w:eastAsia="Calibri" w:hAnsi="Verdana" w:cs="Times New Roman"/>
          <w:b/>
          <w:i/>
          <w:sz w:val="24"/>
          <w:szCs w:val="24"/>
          <w:u w:val="single"/>
        </w:rPr>
        <w:t>Instructio</w:t>
      </w:r>
      <w:bookmarkStart w:id="3" w:name="Instructions"/>
      <w:bookmarkEnd w:id="3"/>
      <w:r>
        <w:rPr>
          <w:rFonts w:ascii="Verdana" w:eastAsia="Calibri" w:hAnsi="Verdana" w:cs="Times New Roman"/>
          <w:b/>
          <w:i/>
          <w:sz w:val="24"/>
          <w:szCs w:val="24"/>
          <w:u w:val="single"/>
        </w:rPr>
        <w:t>ns</w:t>
      </w:r>
    </w:p>
    <w:p w14:paraId="1435EB1F" w14:textId="7CA0EB17" w:rsidR="000F2945" w:rsidRDefault="000F2945" w:rsidP="000F2945">
      <w:pPr>
        <w:pStyle w:val="ListParagraph"/>
        <w:numPr>
          <w:ilvl w:val="0"/>
          <w:numId w:val="4"/>
        </w:numPr>
        <w:spacing w:afterLines="200" w:after="480"/>
        <w:contextualSpacing w:val="0"/>
        <w:jc w:val="both"/>
        <w:rPr>
          <w:rFonts w:ascii="Verdana" w:hAnsi="Verdana"/>
          <w:szCs w:val="24"/>
        </w:rPr>
      </w:pPr>
      <w:r>
        <w:rPr>
          <w:rFonts w:ascii="Verdana" w:hAnsi="Verdana"/>
          <w:szCs w:val="24"/>
        </w:rPr>
        <w:t xml:space="preserve">Should the name of every taxing authority to whom tax amounts are disbursed be listed in the “Amounts Disbursed to Each Local Taxing Authority (Net of Collection Costs)” section of the schedule? </w:t>
      </w:r>
    </w:p>
    <w:p w14:paraId="7389D063" w14:textId="27D7078A" w:rsidR="000F2945" w:rsidRDefault="000F2945" w:rsidP="000F2945">
      <w:pPr>
        <w:numPr>
          <w:ilvl w:val="1"/>
          <w:numId w:val="4"/>
        </w:numPr>
        <w:spacing w:line="240" w:lineRule="auto"/>
        <w:jc w:val="both"/>
        <w:rPr>
          <w:rFonts w:ascii="Verdana" w:eastAsia="Calibri" w:hAnsi="Verdana" w:cs="Times New Roman"/>
          <w:color w:val="4F81BD"/>
          <w:sz w:val="24"/>
          <w:szCs w:val="24"/>
        </w:rPr>
      </w:pPr>
      <w:r w:rsidRPr="000F2945">
        <w:rPr>
          <w:rFonts w:ascii="Verdana" w:eastAsia="Calibri" w:hAnsi="Verdana" w:cs="Times New Roman"/>
          <w:color w:val="4F81BD"/>
          <w:sz w:val="24"/>
          <w:szCs w:val="24"/>
        </w:rPr>
        <w:t xml:space="preserve">Yes. The name of each taxing authority to whom tax amounts are disbursed should be listed in the “Amounts Disbursed to Each Local Taxing Authority (Net of Collection Costs)” section, regardless of the type of tax disbursed (i.e. sales tax, ad valorem tax, hotel/motel tax, etc.) </w:t>
      </w:r>
    </w:p>
    <w:p w14:paraId="7F49081B" w14:textId="110C425D" w:rsidR="009C02CA" w:rsidRPr="007E4E03" w:rsidRDefault="009C02CA" w:rsidP="009C02CA">
      <w:pPr>
        <w:spacing w:line="240" w:lineRule="auto"/>
        <w:ind w:left="720"/>
        <w:jc w:val="both"/>
        <w:rPr>
          <w:rFonts w:ascii="Verdana" w:eastAsia="Calibri" w:hAnsi="Verdana" w:cs="Times New Roman"/>
          <w:b/>
          <w:color w:val="4F81BD"/>
          <w:sz w:val="24"/>
          <w:szCs w:val="24"/>
        </w:rPr>
      </w:pPr>
      <w:r w:rsidRPr="007E4E03">
        <w:rPr>
          <w:rFonts w:ascii="Verdana" w:eastAsia="Calibri" w:hAnsi="Verdana" w:cs="Times New Roman"/>
          <w:b/>
          <w:color w:val="4F81BD"/>
          <w:sz w:val="24"/>
          <w:szCs w:val="24"/>
        </w:rPr>
        <w:t>Example:</w:t>
      </w:r>
    </w:p>
    <w:tbl>
      <w:tblPr>
        <w:tblStyle w:val="GridTable1Light-Accent1"/>
        <w:tblW w:w="8748" w:type="dxa"/>
        <w:tblInd w:w="607" w:type="dxa"/>
        <w:tblLook w:val="04A0" w:firstRow="1" w:lastRow="0" w:firstColumn="1" w:lastColumn="0" w:noHBand="0" w:noVBand="1"/>
      </w:tblPr>
      <w:tblGrid>
        <w:gridCol w:w="5058"/>
        <w:gridCol w:w="3690"/>
      </w:tblGrid>
      <w:tr w:rsidR="009C02CA" w:rsidRPr="009C02CA" w14:paraId="15F8A61E" w14:textId="77777777" w:rsidTr="00B801F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3ADA768F" w14:textId="61D617EE" w:rsidR="009C02CA" w:rsidRPr="00B801FF" w:rsidRDefault="009C02CA" w:rsidP="009C02CA">
            <w:pPr>
              <w:spacing w:after="200"/>
              <w:ind w:left="180"/>
              <w:rPr>
                <w:rFonts w:ascii="Verdana" w:eastAsia="Calibri" w:hAnsi="Verdana" w:cs="Times New Roman"/>
                <w:color w:val="4F81BD"/>
                <w:sz w:val="24"/>
                <w:szCs w:val="24"/>
              </w:rPr>
            </w:pPr>
            <w:r w:rsidRPr="00B801FF">
              <w:rPr>
                <w:rFonts w:ascii="Verdana" w:eastAsia="Calibri" w:hAnsi="Verdana" w:cs="Times New Roman"/>
                <w:color w:val="4F81BD"/>
                <w:sz w:val="24"/>
                <w:szCs w:val="24"/>
              </w:rPr>
              <w:t xml:space="preserve">Amounts Disbursed </w:t>
            </w:r>
            <w:r w:rsidR="00804CF2">
              <w:rPr>
                <w:rFonts w:ascii="Verdana" w:eastAsia="Calibri" w:hAnsi="Verdana" w:cs="Times New Roman"/>
                <w:color w:val="4F81BD"/>
                <w:sz w:val="24"/>
                <w:szCs w:val="24"/>
              </w:rPr>
              <w:t>t</w:t>
            </w:r>
            <w:r w:rsidRPr="00B801FF">
              <w:rPr>
                <w:rFonts w:ascii="Verdana" w:eastAsia="Calibri" w:hAnsi="Verdana" w:cs="Times New Roman"/>
                <w:color w:val="4F81BD"/>
                <w:sz w:val="24"/>
                <w:szCs w:val="24"/>
              </w:rPr>
              <w:t>o Each Local Taxing Authority (Net of Collection Costs)</w:t>
            </w:r>
          </w:p>
        </w:tc>
        <w:tc>
          <w:tcPr>
            <w:tcW w:w="3690" w:type="dxa"/>
            <w:noWrap/>
            <w:hideMark/>
          </w:tcPr>
          <w:p w14:paraId="6A0326E9" w14:textId="77777777" w:rsidR="009C02CA" w:rsidRPr="009C02CA" w:rsidRDefault="009C02CA" w:rsidP="009C02CA">
            <w:pPr>
              <w:spacing w:after="200"/>
              <w:ind w:left="720"/>
              <w:cnfStyle w:val="100000000000" w:firstRow="1"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p>
        </w:tc>
      </w:tr>
      <w:tr w:rsidR="009C02CA" w:rsidRPr="009C02CA" w14:paraId="5345852E"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62C70D38" w14:textId="77777777" w:rsidR="009C02CA" w:rsidRPr="00B801FF" w:rsidRDefault="009C02CA" w:rsidP="009C02CA">
            <w:pPr>
              <w:spacing w:after="200"/>
              <w:ind w:left="180"/>
              <w:rPr>
                <w:rFonts w:ascii="Verdana" w:eastAsia="Calibri" w:hAnsi="Verdana" w:cs="Times New Roman"/>
                <w:color w:val="4F81BD"/>
                <w:sz w:val="24"/>
                <w:szCs w:val="24"/>
              </w:rPr>
            </w:pPr>
            <w:r w:rsidRPr="00B801FF">
              <w:rPr>
                <w:rFonts w:ascii="Verdana" w:eastAsia="Calibri" w:hAnsi="Verdana" w:cs="Times New Roman"/>
                <w:color w:val="4F81BD"/>
                <w:sz w:val="24"/>
                <w:szCs w:val="24"/>
              </w:rPr>
              <w:t>Sales Tax:</w:t>
            </w:r>
          </w:p>
        </w:tc>
        <w:tc>
          <w:tcPr>
            <w:tcW w:w="3690" w:type="dxa"/>
            <w:noWrap/>
            <w:hideMark/>
          </w:tcPr>
          <w:p w14:paraId="0953147C" w14:textId="77777777" w:rsidR="009C02CA" w:rsidRPr="009C02CA" w:rsidRDefault="009C02CA" w:rsidP="009C02CA">
            <w:pPr>
              <w:spacing w:after="200"/>
              <w:ind w:left="720"/>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p>
        </w:tc>
      </w:tr>
      <w:tr w:rsidR="009C02CA" w:rsidRPr="009C02CA" w14:paraId="59DFD83A"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238CF659" w14:textId="20283FC4" w:rsidR="009C02CA" w:rsidRPr="00B801FF" w:rsidRDefault="009C02CA" w:rsidP="009C02CA">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City of XYZ</w:t>
            </w:r>
          </w:p>
        </w:tc>
        <w:tc>
          <w:tcPr>
            <w:tcW w:w="3690" w:type="dxa"/>
            <w:noWrap/>
            <w:hideMark/>
          </w:tcPr>
          <w:p w14:paraId="71D37FEF" w14:textId="4E23DEA0" w:rsidR="009C02CA" w:rsidRPr="009C02CA" w:rsidRDefault="001D2158"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w:t>
            </w:r>
            <w:r w:rsidR="009C02CA">
              <w:rPr>
                <w:rFonts w:ascii="Verdana" w:eastAsia="Calibri" w:hAnsi="Verdana" w:cs="Times New Roman"/>
                <w:color w:val="4F81BD"/>
                <w:sz w:val="24"/>
                <w:szCs w:val="24"/>
              </w:rPr>
              <w:t>1,000,000</w:t>
            </w:r>
          </w:p>
        </w:tc>
      </w:tr>
      <w:tr w:rsidR="009C02CA" w:rsidRPr="009C02CA" w14:paraId="1D01E0FB"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3C5F3CA9" w14:textId="2ED05ABE" w:rsidR="00592406" w:rsidRDefault="009C02CA" w:rsidP="009C02CA">
            <w:pPr>
              <w:spacing w:after="200"/>
              <w:ind w:left="450"/>
              <w:rPr>
                <w:rFonts w:ascii="Verdana" w:eastAsia="Calibri" w:hAnsi="Verdana" w:cs="Times New Roman"/>
                <w:bCs w:val="0"/>
                <w:color w:val="4F81BD"/>
                <w:sz w:val="24"/>
                <w:szCs w:val="24"/>
              </w:rPr>
            </w:pPr>
            <w:r w:rsidRPr="00B801FF">
              <w:rPr>
                <w:rFonts w:ascii="Verdana" w:eastAsia="Calibri" w:hAnsi="Verdana" w:cs="Times New Roman"/>
                <w:b w:val="0"/>
                <w:color w:val="4F81BD"/>
                <w:sz w:val="24"/>
                <w:szCs w:val="24"/>
              </w:rPr>
              <w:t xml:space="preserve">Parish School Board </w:t>
            </w:r>
          </w:p>
          <w:p w14:paraId="0A35F535" w14:textId="77777777" w:rsidR="009C02CA" w:rsidRPr="00592406" w:rsidRDefault="009C02CA" w:rsidP="00592406">
            <w:pPr>
              <w:rPr>
                <w:rFonts w:ascii="Verdana" w:eastAsia="Calibri" w:hAnsi="Verdana" w:cs="Times New Roman"/>
                <w:sz w:val="24"/>
                <w:szCs w:val="24"/>
              </w:rPr>
            </w:pPr>
          </w:p>
        </w:tc>
        <w:tc>
          <w:tcPr>
            <w:tcW w:w="3690" w:type="dxa"/>
            <w:noWrap/>
            <w:hideMark/>
          </w:tcPr>
          <w:p w14:paraId="2CA6FB42" w14:textId="3BFD0659" w:rsidR="009C02CA"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500,000</w:t>
            </w:r>
          </w:p>
        </w:tc>
      </w:tr>
      <w:tr w:rsidR="009C02CA" w:rsidRPr="009C02CA" w14:paraId="6844CD2A"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5B63A3B8" w14:textId="74E95E2B" w:rsidR="009C02CA" w:rsidRPr="00B801FF" w:rsidRDefault="009C02CA" w:rsidP="009C02CA">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lastRenderedPageBreak/>
              <w:t>Parish Police Jury</w:t>
            </w:r>
          </w:p>
        </w:tc>
        <w:tc>
          <w:tcPr>
            <w:tcW w:w="3690" w:type="dxa"/>
            <w:noWrap/>
            <w:hideMark/>
          </w:tcPr>
          <w:p w14:paraId="188CAFE6" w14:textId="27F100D4" w:rsidR="009C02CA"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100,000</w:t>
            </w:r>
          </w:p>
        </w:tc>
      </w:tr>
      <w:tr w:rsidR="00DF27DF" w:rsidRPr="009C02CA" w14:paraId="32AE8D83"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2ECA7AB7" w14:textId="1360E3E7"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Town of XYZ</w:t>
            </w:r>
          </w:p>
        </w:tc>
        <w:tc>
          <w:tcPr>
            <w:tcW w:w="3690" w:type="dxa"/>
            <w:noWrap/>
          </w:tcPr>
          <w:p w14:paraId="28D29BC5" w14:textId="7FA39464"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500,000</w:t>
            </w:r>
          </w:p>
        </w:tc>
      </w:tr>
      <w:tr w:rsidR="00DF27DF" w:rsidRPr="009C02CA" w14:paraId="3907E324"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43B25AC4" w14:textId="1726D11C" w:rsidR="00DF27DF" w:rsidRPr="00B801FF" w:rsidRDefault="00DF27DF" w:rsidP="00DF27DF">
            <w:pPr>
              <w:spacing w:after="200"/>
              <w:ind w:left="180"/>
              <w:rPr>
                <w:rFonts w:ascii="Verdana" w:eastAsia="Calibri" w:hAnsi="Verdana" w:cs="Times New Roman"/>
                <w:color w:val="4F81BD"/>
                <w:sz w:val="24"/>
                <w:szCs w:val="24"/>
              </w:rPr>
            </w:pPr>
            <w:r w:rsidRPr="00B801FF">
              <w:rPr>
                <w:rFonts w:ascii="Verdana" w:eastAsia="Calibri" w:hAnsi="Verdana" w:cs="Times New Roman"/>
                <w:color w:val="4F81BD"/>
                <w:sz w:val="24"/>
                <w:szCs w:val="24"/>
              </w:rPr>
              <w:t>Hotel/Motel Occupancy Tax:</w:t>
            </w:r>
          </w:p>
        </w:tc>
        <w:tc>
          <w:tcPr>
            <w:tcW w:w="3690" w:type="dxa"/>
            <w:noWrap/>
          </w:tcPr>
          <w:p w14:paraId="2C50F65C" w14:textId="63987A7A"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p>
        </w:tc>
      </w:tr>
      <w:tr w:rsidR="00DF27DF" w:rsidRPr="009C02CA" w14:paraId="26EDAD89"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34B4A879" w14:textId="6F426C35"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 xml:space="preserve">Tourist Commission </w:t>
            </w:r>
          </w:p>
        </w:tc>
        <w:tc>
          <w:tcPr>
            <w:tcW w:w="3690" w:type="dxa"/>
            <w:noWrap/>
          </w:tcPr>
          <w:p w14:paraId="11AFF8EF" w14:textId="6ABE398C"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250,000</w:t>
            </w:r>
          </w:p>
        </w:tc>
      </w:tr>
      <w:tr w:rsidR="00DF27DF" w:rsidRPr="009C02CA" w14:paraId="3B5450C6"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20F47FBE" w14:textId="32011783"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 xml:space="preserve">City of XYZ </w:t>
            </w:r>
          </w:p>
        </w:tc>
        <w:tc>
          <w:tcPr>
            <w:tcW w:w="3690" w:type="dxa"/>
            <w:noWrap/>
          </w:tcPr>
          <w:p w14:paraId="5ED5636E" w14:textId="2099657B"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300,000</w:t>
            </w:r>
          </w:p>
        </w:tc>
      </w:tr>
      <w:tr w:rsidR="00DF27DF" w:rsidRPr="009C02CA" w14:paraId="704F74D4"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72967E59" w14:textId="3362691A" w:rsidR="00DF27DF" w:rsidRPr="00B801FF" w:rsidRDefault="00DF27DF" w:rsidP="00DF27DF">
            <w:pPr>
              <w:spacing w:after="200"/>
              <w:ind w:left="180"/>
              <w:rPr>
                <w:rFonts w:ascii="Verdana" w:eastAsia="Calibri" w:hAnsi="Verdana" w:cs="Times New Roman"/>
                <w:color w:val="4F81BD"/>
                <w:sz w:val="24"/>
                <w:szCs w:val="24"/>
              </w:rPr>
            </w:pPr>
            <w:r w:rsidRPr="00B801FF">
              <w:rPr>
                <w:rFonts w:ascii="Verdana" w:eastAsia="Calibri" w:hAnsi="Verdana" w:cs="Times New Roman"/>
                <w:color w:val="4F81BD"/>
                <w:sz w:val="24"/>
                <w:szCs w:val="24"/>
              </w:rPr>
              <w:t>Ad Valorem Tax:</w:t>
            </w:r>
          </w:p>
        </w:tc>
        <w:tc>
          <w:tcPr>
            <w:tcW w:w="3690" w:type="dxa"/>
            <w:noWrap/>
          </w:tcPr>
          <w:p w14:paraId="127A139F" w14:textId="6EEFD78D"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p>
        </w:tc>
      </w:tr>
      <w:tr w:rsidR="00DF27DF" w:rsidRPr="009C02CA" w14:paraId="000F7B45"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70625C60" w14:textId="419B4B2E"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Parish Park System</w:t>
            </w:r>
          </w:p>
        </w:tc>
        <w:tc>
          <w:tcPr>
            <w:tcW w:w="3690" w:type="dxa"/>
            <w:noWrap/>
          </w:tcPr>
          <w:p w14:paraId="087EB5C2" w14:textId="0AB4F3D6"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36B4017C"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2084AC73" w14:textId="2D950FEB"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 xml:space="preserve">Parish Library System </w:t>
            </w:r>
          </w:p>
        </w:tc>
        <w:tc>
          <w:tcPr>
            <w:tcW w:w="3690" w:type="dxa"/>
            <w:noWrap/>
          </w:tcPr>
          <w:p w14:paraId="1CD872AC" w14:textId="3A61F0C8"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71E5A0F5"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70FE4F4B" w14:textId="7BD8F62E"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Parish School Board</w:t>
            </w:r>
          </w:p>
        </w:tc>
        <w:tc>
          <w:tcPr>
            <w:tcW w:w="3690" w:type="dxa"/>
            <w:noWrap/>
          </w:tcPr>
          <w:p w14:paraId="6734DBEA" w14:textId="18BB3F74"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5F4B8C0F"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2A50AEAF" w14:textId="59F4F1D4"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 xml:space="preserve">Town of XYZ </w:t>
            </w:r>
          </w:p>
        </w:tc>
        <w:tc>
          <w:tcPr>
            <w:tcW w:w="3690" w:type="dxa"/>
            <w:noWrap/>
          </w:tcPr>
          <w:p w14:paraId="744A3E79" w14:textId="2FE107F1"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298390FB"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7F091083" w14:textId="7218F664"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City of XYZ</w:t>
            </w:r>
          </w:p>
        </w:tc>
        <w:tc>
          <w:tcPr>
            <w:tcW w:w="3690" w:type="dxa"/>
            <w:noWrap/>
          </w:tcPr>
          <w:p w14:paraId="19CB5B8B" w14:textId="7B6E2D9D"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2556AD03"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tcPr>
          <w:p w14:paraId="0713A63F" w14:textId="2ED28E7F" w:rsidR="00DF27DF" w:rsidRPr="00B801FF" w:rsidRDefault="00DF27DF" w:rsidP="00DF27DF">
            <w:pPr>
              <w:spacing w:after="200"/>
              <w:ind w:left="450"/>
              <w:rPr>
                <w:rFonts w:ascii="Verdana" w:eastAsia="Calibri" w:hAnsi="Verdana" w:cs="Times New Roman"/>
                <w:b w:val="0"/>
                <w:color w:val="4F81BD"/>
                <w:sz w:val="24"/>
                <w:szCs w:val="24"/>
              </w:rPr>
            </w:pPr>
            <w:r w:rsidRPr="00B801FF">
              <w:rPr>
                <w:rFonts w:ascii="Verdana" w:eastAsia="Calibri" w:hAnsi="Verdana" w:cs="Times New Roman"/>
                <w:b w:val="0"/>
                <w:color w:val="4F81BD"/>
                <w:sz w:val="24"/>
                <w:szCs w:val="24"/>
              </w:rPr>
              <w:t>Parish Police Jury</w:t>
            </w:r>
          </w:p>
        </w:tc>
        <w:tc>
          <w:tcPr>
            <w:tcW w:w="3690" w:type="dxa"/>
            <w:noWrap/>
          </w:tcPr>
          <w:p w14:paraId="17DD7177" w14:textId="3C8BD901" w:rsidR="00DF27DF" w:rsidRPr="009C02CA" w:rsidRDefault="00DF27DF" w:rsidP="00D649E4">
            <w:pPr>
              <w:spacing w:after="200"/>
              <w:ind w:left="720"/>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Pr>
                <w:rFonts w:ascii="Verdana" w:eastAsia="Calibri" w:hAnsi="Verdana" w:cs="Times New Roman"/>
                <w:color w:val="4F81BD"/>
                <w:sz w:val="24"/>
                <w:szCs w:val="24"/>
              </w:rPr>
              <w:t>1,000</w:t>
            </w:r>
          </w:p>
        </w:tc>
      </w:tr>
      <w:tr w:rsidR="00DF27DF" w:rsidRPr="009C02CA" w14:paraId="225243D5" w14:textId="77777777" w:rsidTr="00B801FF">
        <w:trPr>
          <w:trHeight w:val="288"/>
        </w:trPr>
        <w:tc>
          <w:tcPr>
            <w:cnfStyle w:val="001000000000" w:firstRow="0" w:lastRow="0" w:firstColumn="1" w:lastColumn="0" w:oddVBand="0" w:evenVBand="0" w:oddHBand="0" w:evenHBand="0" w:firstRowFirstColumn="0" w:firstRowLastColumn="0" w:lastRowFirstColumn="0" w:lastRowLastColumn="0"/>
            <w:tcW w:w="5058" w:type="dxa"/>
            <w:noWrap/>
            <w:hideMark/>
          </w:tcPr>
          <w:p w14:paraId="56BE8C18" w14:textId="77777777" w:rsidR="00DF27DF" w:rsidRPr="00B801FF" w:rsidRDefault="00DF27DF" w:rsidP="00DF27DF">
            <w:pPr>
              <w:spacing w:after="200"/>
              <w:ind w:left="180"/>
              <w:rPr>
                <w:rFonts w:ascii="Verdana" w:eastAsia="Calibri" w:hAnsi="Verdana" w:cs="Times New Roman"/>
                <w:color w:val="4F81BD"/>
                <w:sz w:val="24"/>
                <w:szCs w:val="24"/>
              </w:rPr>
            </w:pPr>
            <w:r w:rsidRPr="00B801FF">
              <w:rPr>
                <w:rFonts w:ascii="Verdana" w:eastAsia="Calibri" w:hAnsi="Verdana" w:cs="Times New Roman"/>
                <w:color w:val="4F81BD"/>
                <w:sz w:val="24"/>
                <w:szCs w:val="24"/>
              </w:rPr>
              <w:t>Total Amounts Disbursed to Local Taxing Authorities</w:t>
            </w:r>
          </w:p>
        </w:tc>
        <w:tc>
          <w:tcPr>
            <w:tcW w:w="3690" w:type="dxa"/>
            <w:noWrap/>
            <w:hideMark/>
          </w:tcPr>
          <w:p w14:paraId="67116B67" w14:textId="52F2F194" w:rsidR="00DF27DF" w:rsidRPr="009C02CA" w:rsidRDefault="00DF27DF" w:rsidP="00D649E4">
            <w:pPr>
              <w:spacing w:after="200"/>
              <w:ind w:left="164"/>
              <w:jc w:val="right"/>
              <w:cnfStyle w:val="000000000000" w:firstRow="0" w:lastRow="0" w:firstColumn="0" w:lastColumn="0" w:oddVBand="0" w:evenVBand="0" w:oddHBand="0" w:evenHBand="0" w:firstRowFirstColumn="0" w:firstRowLastColumn="0" w:lastRowFirstColumn="0" w:lastRowLastColumn="0"/>
              <w:rPr>
                <w:rFonts w:ascii="Verdana" w:eastAsia="Calibri" w:hAnsi="Verdana" w:cs="Times New Roman"/>
                <w:color w:val="4F81BD"/>
                <w:sz w:val="24"/>
                <w:szCs w:val="24"/>
              </w:rPr>
            </w:pPr>
            <w:r w:rsidRPr="009C02CA">
              <w:rPr>
                <w:rFonts w:ascii="Verdana" w:eastAsia="Calibri" w:hAnsi="Verdana" w:cs="Times New Roman"/>
                <w:color w:val="4F81BD"/>
                <w:sz w:val="24"/>
                <w:szCs w:val="24"/>
              </w:rPr>
              <w:t xml:space="preserve"> $ </w:t>
            </w:r>
            <w:r>
              <w:rPr>
                <w:rFonts w:ascii="Verdana" w:eastAsia="Calibri" w:hAnsi="Verdana" w:cs="Times New Roman"/>
                <w:color w:val="4F81BD"/>
                <w:sz w:val="24"/>
                <w:szCs w:val="24"/>
              </w:rPr>
              <w:t>2,656,000</w:t>
            </w:r>
          </w:p>
        </w:tc>
      </w:tr>
    </w:tbl>
    <w:p w14:paraId="3F5BAAFF" w14:textId="5DCB8D4A" w:rsidR="00850742" w:rsidRPr="009C02CA" w:rsidRDefault="00850742" w:rsidP="009C02CA">
      <w:pPr>
        <w:spacing w:line="240" w:lineRule="auto"/>
        <w:ind w:left="720"/>
        <w:rPr>
          <w:rFonts w:ascii="Verdana" w:eastAsia="Calibri" w:hAnsi="Verdana" w:cs="Times New Roman"/>
          <w:color w:val="4F81BD"/>
          <w:sz w:val="24"/>
          <w:szCs w:val="24"/>
        </w:rPr>
      </w:pPr>
    </w:p>
    <w:sectPr w:rsidR="00850742" w:rsidRPr="009C02CA" w:rsidSect="00680766">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B5CCC" w14:textId="77777777" w:rsidR="00680766" w:rsidRDefault="00680766" w:rsidP="00680766">
      <w:pPr>
        <w:spacing w:after="0" w:line="240" w:lineRule="auto"/>
      </w:pPr>
      <w:r>
        <w:separator/>
      </w:r>
    </w:p>
  </w:endnote>
  <w:endnote w:type="continuationSeparator" w:id="0">
    <w:p w14:paraId="61403BFE" w14:textId="77777777" w:rsidR="00680766" w:rsidRDefault="00680766" w:rsidP="00680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enir Next LT Pro">
    <w:panose1 w:val="020B0504020202020204"/>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579540"/>
      <w:docPartObj>
        <w:docPartGallery w:val="Page Numbers (Bottom of Page)"/>
        <w:docPartUnique/>
      </w:docPartObj>
    </w:sdtPr>
    <w:sdtEndPr>
      <w:rPr>
        <w:noProof/>
      </w:rPr>
    </w:sdtEndPr>
    <w:sdtContent>
      <w:sdt>
        <w:sdtPr>
          <w:rPr>
            <w:rFonts w:ascii="Verdana" w:hAnsi="Verdana"/>
          </w:rPr>
          <w:id w:val="-42753134"/>
          <w:docPartObj>
            <w:docPartGallery w:val="Page Numbers (Bottom of Page)"/>
            <w:docPartUnique/>
          </w:docPartObj>
        </w:sdtPr>
        <w:sdtEndPr>
          <w:rPr>
            <w:color w:val="808080" w:themeColor="background1" w:themeShade="80"/>
            <w:spacing w:val="60"/>
          </w:rPr>
        </w:sdtEndPr>
        <w:sdtContent>
          <w:p w14:paraId="1C72502B" w14:textId="77777777" w:rsidR="007E4E03" w:rsidRPr="002F03C9" w:rsidRDefault="007E4E03" w:rsidP="007E4E03">
            <w:pPr>
              <w:pStyle w:val="Footer"/>
              <w:pBdr>
                <w:top w:val="single" w:sz="4" w:space="0" w:color="D9D9D9" w:themeColor="background1" w:themeShade="D9"/>
              </w:pBdr>
              <w:jc w:val="right"/>
              <w:rPr>
                <w:rFonts w:ascii="Verdana" w:hAnsi="Verdana"/>
              </w:rPr>
            </w:pPr>
            <w:r w:rsidRPr="002F03C9">
              <w:rPr>
                <w:rFonts w:ascii="Verdana" w:hAnsi="Verdana"/>
              </w:rPr>
              <w:fldChar w:fldCharType="begin"/>
            </w:r>
            <w:r w:rsidRPr="002F03C9">
              <w:rPr>
                <w:rFonts w:ascii="Verdana" w:hAnsi="Verdana"/>
              </w:rPr>
              <w:instrText xml:space="preserve"> PAGE   \* MERGEFORMAT </w:instrText>
            </w:r>
            <w:r w:rsidRPr="002F03C9">
              <w:rPr>
                <w:rFonts w:ascii="Verdana" w:hAnsi="Verdana"/>
              </w:rPr>
              <w:fldChar w:fldCharType="separate"/>
            </w:r>
            <w:r>
              <w:rPr>
                <w:rFonts w:ascii="Verdana" w:hAnsi="Verdana"/>
              </w:rPr>
              <w:t>1</w:t>
            </w:r>
            <w:r w:rsidRPr="002F03C9">
              <w:rPr>
                <w:rFonts w:ascii="Verdana" w:hAnsi="Verdana"/>
                <w:noProof/>
              </w:rPr>
              <w:fldChar w:fldCharType="end"/>
            </w:r>
            <w:r w:rsidRPr="002F03C9">
              <w:rPr>
                <w:rFonts w:ascii="Verdana" w:hAnsi="Verdana"/>
              </w:rPr>
              <w:t xml:space="preserve"> | </w:t>
            </w:r>
            <w:r w:rsidRPr="002F03C9">
              <w:rPr>
                <w:rFonts w:ascii="Verdana" w:hAnsi="Verdana"/>
                <w:color w:val="808080" w:themeColor="background1" w:themeShade="80"/>
                <w:spacing w:val="60"/>
              </w:rPr>
              <w:t>Page</w:t>
            </w:r>
          </w:p>
        </w:sdtContent>
      </w:sdt>
      <w:p w14:paraId="243348C9" w14:textId="1F163408" w:rsidR="003B2C92" w:rsidRPr="00817F64" w:rsidRDefault="007E4E03">
        <w:pPr>
          <w:pStyle w:val="Footer"/>
          <w:rPr>
            <w:rFonts w:ascii="Verdana" w:hAnsi="Verdana"/>
            <w:i/>
          </w:rPr>
        </w:pPr>
        <w:r w:rsidRPr="002F03C9">
          <w:rPr>
            <w:rFonts w:ascii="Verdana" w:hAnsi="Verdana"/>
            <w:i/>
          </w:rPr>
          <w:t xml:space="preserve">Last Updated: </w:t>
        </w:r>
        <w:r w:rsidR="00592406">
          <w:rPr>
            <w:rFonts w:ascii="Verdana" w:hAnsi="Verdana"/>
            <w:i/>
          </w:rPr>
          <w:t>August 8, 2024</w:t>
        </w:r>
      </w:p>
    </w:sdtContent>
  </w:sdt>
  <w:p w14:paraId="5E7C0223" w14:textId="77777777" w:rsidR="00680766" w:rsidRPr="00C72C8C" w:rsidRDefault="00680766">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48DF0" w14:textId="77777777" w:rsidR="00680766" w:rsidRDefault="00680766" w:rsidP="00680766">
      <w:pPr>
        <w:spacing w:after="0" w:line="240" w:lineRule="auto"/>
      </w:pPr>
      <w:r>
        <w:separator/>
      </w:r>
    </w:p>
  </w:footnote>
  <w:footnote w:type="continuationSeparator" w:id="0">
    <w:p w14:paraId="20A9F020" w14:textId="77777777" w:rsidR="00680766" w:rsidRDefault="00680766" w:rsidP="00680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04BE"/>
    <w:multiLevelType w:val="hybridMultilevel"/>
    <w:tmpl w:val="5888F4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B1B4865"/>
    <w:multiLevelType w:val="hybridMultilevel"/>
    <w:tmpl w:val="787EDE34"/>
    <w:lvl w:ilvl="0" w:tplc="8076CE00">
      <w:start w:val="1"/>
      <w:numFmt w:val="decimal"/>
      <w:lvlText w:val="%1."/>
      <w:lvlJc w:val="left"/>
      <w:pPr>
        <w:ind w:left="360" w:hanging="360"/>
      </w:pPr>
      <w:rPr>
        <w:rFonts w:hint="default"/>
        <w:sz w:val="24"/>
        <w:szCs w:val="24"/>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716F0E"/>
    <w:multiLevelType w:val="hybridMultilevel"/>
    <w:tmpl w:val="86144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C3730"/>
    <w:multiLevelType w:val="hybridMultilevel"/>
    <w:tmpl w:val="B516845A"/>
    <w:lvl w:ilvl="0" w:tplc="A9024A6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47D95"/>
    <w:multiLevelType w:val="hybridMultilevel"/>
    <w:tmpl w:val="D3260A1A"/>
    <w:lvl w:ilvl="0" w:tplc="8076CE00">
      <w:start w:val="1"/>
      <w:numFmt w:val="decimal"/>
      <w:lvlText w:val="%1."/>
      <w:lvlJc w:val="left"/>
      <w:pPr>
        <w:ind w:left="360" w:hanging="360"/>
      </w:pPr>
      <w:rPr>
        <w:rFonts w:hint="default"/>
        <w:sz w:val="24"/>
        <w:szCs w:val="24"/>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7C7CDB"/>
    <w:multiLevelType w:val="hybridMultilevel"/>
    <w:tmpl w:val="727680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5F0D81"/>
    <w:multiLevelType w:val="hybridMultilevel"/>
    <w:tmpl w:val="769CDD06"/>
    <w:lvl w:ilvl="0" w:tplc="31DC0D72">
      <w:start w:val="1"/>
      <w:numFmt w:val="decimal"/>
      <w:lvlText w:val="%1."/>
      <w:lvlJc w:val="left"/>
      <w:pPr>
        <w:ind w:left="360" w:hanging="360"/>
      </w:pPr>
      <w:rPr>
        <w:rFonts w:hint="default"/>
        <w:sz w:val="24"/>
        <w:szCs w:val="24"/>
      </w:rPr>
    </w:lvl>
    <w:lvl w:ilvl="1" w:tplc="0409000B">
      <w:start w:val="1"/>
      <w:numFmt w:val="bullet"/>
      <w:lvlText w:val=""/>
      <w:lvlJc w:val="left"/>
      <w:pPr>
        <w:ind w:left="1080" w:hanging="360"/>
      </w:pPr>
      <w:rPr>
        <w:rFonts w:ascii="Wingdings" w:hAnsi="Wingdings" w:hint="default"/>
        <w:color w:val="4F81BD"/>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D474F"/>
    <w:multiLevelType w:val="hybridMultilevel"/>
    <w:tmpl w:val="F458966C"/>
    <w:lvl w:ilvl="0" w:tplc="101C8626">
      <w:start w:val="1"/>
      <w:numFmt w:val="bullet"/>
      <w:lvlText w:val=""/>
      <w:lvlJc w:val="left"/>
      <w:pPr>
        <w:ind w:left="360" w:hanging="360"/>
      </w:pPr>
      <w:rPr>
        <w:rFonts w:ascii="Symbol" w:hAnsi="Symbol" w:hint="default"/>
        <w:color w:val="auto"/>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766"/>
    <w:rsid w:val="000F2945"/>
    <w:rsid w:val="00146A60"/>
    <w:rsid w:val="00176F0E"/>
    <w:rsid w:val="001B389B"/>
    <w:rsid w:val="001D2158"/>
    <w:rsid w:val="002047CA"/>
    <w:rsid w:val="00222551"/>
    <w:rsid w:val="00256442"/>
    <w:rsid w:val="003849DD"/>
    <w:rsid w:val="003B2C92"/>
    <w:rsid w:val="003B5304"/>
    <w:rsid w:val="003B671C"/>
    <w:rsid w:val="004711F9"/>
    <w:rsid w:val="00502DAE"/>
    <w:rsid w:val="00592406"/>
    <w:rsid w:val="005C13EE"/>
    <w:rsid w:val="005C6779"/>
    <w:rsid w:val="005F7428"/>
    <w:rsid w:val="00680766"/>
    <w:rsid w:val="00725295"/>
    <w:rsid w:val="007E4E03"/>
    <w:rsid w:val="00804CF2"/>
    <w:rsid w:val="00817F64"/>
    <w:rsid w:val="00850742"/>
    <w:rsid w:val="009C02CA"/>
    <w:rsid w:val="00B801FF"/>
    <w:rsid w:val="00CF6782"/>
    <w:rsid w:val="00D649E4"/>
    <w:rsid w:val="00DF27DF"/>
    <w:rsid w:val="00E27E56"/>
    <w:rsid w:val="00E76618"/>
    <w:rsid w:val="00EA1F77"/>
    <w:rsid w:val="00EE33A1"/>
    <w:rsid w:val="00F023D6"/>
    <w:rsid w:val="00F76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8905AD"/>
  <w15:chartTrackingRefBased/>
  <w15:docId w15:val="{27FCBCCD-D425-4031-8332-782D0B57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766"/>
    <w:pPr>
      <w:spacing w:after="0" w:line="240" w:lineRule="auto"/>
      <w:ind w:left="720"/>
      <w:contextualSpacing/>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680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66"/>
  </w:style>
  <w:style w:type="paragraph" w:styleId="Footer">
    <w:name w:val="footer"/>
    <w:basedOn w:val="Normal"/>
    <w:link w:val="FooterChar"/>
    <w:uiPriority w:val="99"/>
    <w:unhideWhenUsed/>
    <w:rsid w:val="00680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66"/>
  </w:style>
  <w:style w:type="character" w:styleId="Hyperlink">
    <w:name w:val="Hyperlink"/>
    <w:basedOn w:val="DefaultParagraphFont"/>
    <w:uiPriority w:val="99"/>
    <w:unhideWhenUsed/>
    <w:rsid w:val="00680766"/>
    <w:rPr>
      <w:color w:val="0000FF" w:themeColor="hyperlink"/>
      <w:u w:val="single"/>
    </w:rPr>
  </w:style>
  <w:style w:type="paragraph" w:styleId="FootnoteText">
    <w:name w:val="footnote text"/>
    <w:basedOn w:val="Normal"/>
    <w:link w:val="FootnoteTextChar"/>
    <w:uiPriority w:val="99"/>
    <w:semiHidden/>
    <w:unhideWhenUsed/>
    <w:rsid w:val="00680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0766"/>
    <w:rPr>
      <w:sz w:val="20"/>
      <w:szCs w:val="20"/>
    </w:rPr>
  </w:style>
  <w:style w:type="character" w:styleId="FootnoteReference">
    <w:name w:val="footnote reference"/>
    <w:basedOn w:val="DefaultParagraphFont"/>
    <w:uiPriority w:val="99"/>
    <w:semiHidden/>
    <w:unhideWhenUsed/>
    <w:rsid w:val="00680766"/>
    <w:rPr>
      <w:vertAlign w:val="superscript"/>
    </w:rPr>
  </w:style>
  <w:style w:type="paragraph" w:customStyle="1" w:styleId="Cover-ServiceArea">
    <w:name w:val="Cover - Service Area"/>
    <w:basedOn w:val="Normal"/>
    <w:qFormat/>
    <w:rsid w:val="00680766"/>
    <w:pPr>
      <w:tabs>
        <w:tab w:val="left" w:pos="1440"/>
      </w:tabs>
      <w:spacing w:after="0" w:line="240" w:lineRule="auto"/>
      <w:ind w:right="10"/>
    </w:pPr>
    <w:rPr>
      <w:rFonts w:ascii="Avenir Next LT Pro" w:hAnsi="Avenir Next LT Pro"/>
      <w:caps/>
      <w:color w:val="EEECE1" w:themeColor="background2"/>
      <w:sz w:val="32"/>
      <w:szCs w:val="32"/>
    </w:rPr>
  </w:style>
  <w:style w:type="paragraph" w:customStyle="1" w:styleId="AcctTtl">
    <w:name w:val="Acct Ttl"/>
    <w:link w:val="AcctTtlChar"/>
    <w:rsid w:val="00680766"/>
    <w:pPr>
      <w:tabs>
        <w:tab w:val="center" w:leader="dot" w:pos="7920"/>
        <w:tab w:val="right" w:leader="dot" w:pos="9360"/>
      </w:tabs>
      <w:spacing w:after="240" w:line="240" w:lineRule="auto"/>
      <w:ind w:left="144" w:hanging="144"/>
    </w:pPr>
    <w:rPr>
      <w:rFonts w:ascii="Times New Roman" w:eastAsia="Times New Roman" w:hAnsi="Times New Roman" w:cs="Times New Roman"/>
      <w:sz w:val="24"/>
      <w:szCs w:val="24"/>
    </w:rPr>
  </w:style>
  <w:style w:type="character" w:customStyle="1" w:styleId="AcctTtlChar">
    <w:name w:val="Acct Ttl Char"/>
    <w:link w:val="AcctTtl"/>
    <w:rsid w:val="00680766"/>
    <w:rPr>
      <w:rFonts w:ascii="Times New Roman" w:eastAsia="Times New Roman" w:hAnsi="Times New Roman" w:cs="Times New Roman"/>
      <w:sz w:val="24"/>
      <w:szCs w:val="24"/>
    </w:rPr>
  </w:style>
  <w:style w:type="paragraph" w:customStyle="1" w:styleId="SectionHeader">
    <w:name w:val="Section Header"/>
    <w:basedOn w:val="Normal"/>
    <w:qFormat/>
    <w:rsid w:val="00680766"/>
    <w:pPr>
      <w:spacing w:after="0" w:line="240" w:lineRule="auto"/>
      <w:jc w:val="center"/>
    </w:pPr>
    <w:rPr>
      <w:rFonts w:ascii="Avenir Next LT Pro" w:hAnsi="Avenir Next LT Pro"/>
      <w:b/>
      <w:color w:val="053A63"/>
      <w:sz w:val="32"/>
      <w:szCs w:val="32"/>
    </w:rPr>
  </w:style>
  <w:style w:type="table" w:customStyle="1" w:styleId="TableGrid1">
    <w:name w:val="Table Grid1"/>
    <w:basedOn w:val="TableNormal"/>
    <w:next w:val="TableGrid"/>
    <w:uiPriority w:val="59"/>
    <w:rsid w:val="0068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8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0766"/>
    <w:rPr>
      <w:color w:val="800080" w:themeColor="followedHyperlink"/>
      <w:u w:val="single"/>
    </w:rPr>
  </w:style>
  <w:style w:type="character" w:styleId="UnresolvedMention">
    <w:name w:val="Unresolved Mention"/>
    <w:basedOn w:val="DefaultParagraphFont"/>
    <w:uiPriority w:val="99"/>
    <w:semiHidden/>
    <w:unhideWhenUsed/>
    <w:rsid w:val="00680766"/>
    <w:rPr>
      <w:color w:val="605E5C"/>
      <w:shd w:val="clear" w:color="auto" w:fill="E1DFDD"/>
    </w:rPr>
  </w:style>
  <w:style w:type="character" w:styleId="LineNumber">
    <w:name w:val="line number"/>
    <w:basedOn w:val="DefaultParagraphFont"/>
    <w:uiPriority w:val="99"/>
    <w:semiHidden/>
    <w:unhideWhenUsed/>
    <w:rsid w:val="00680766"/>
  </w:style>
  <w:style w:type="character" w:styleId="CommentReference">
    <w:name w:val="annotation reference"/>
    <w:basedOn w:val="DefaultParagraphFont"/>
    <w:uiPriority w:val="99"/>
    <w:semiHidden/>
    <w:unhideWhenUsed/>
    <w:rsid w:val="00F7682F"/>
    <w:rPr>
      <w:sz w:val="16"/>
      <w:szCs w:val="16"/>
    </w:rPr>
  </w:style>
  <w:style w:type="paragraph" w:styleId="CommentText">
    <w:name w:val="annotation text"/>
    <w:basedOn w:val="Normal"/>
    <w:link w:val="CommentTextChar"/>
    <w:uiPriority w:val="99"/>
    <w:semiHidden/>
    <w:unhideWhenUsed/>
    <w:rsid w:val="00F7682F"/>
    <w:pPr>
      <w:spacing w:line="240" w:lineRule="auto"/>
    </w:pPr>
    <w:rPr>
      <w:sz w:val="20"/>
      <w:szCs w:val="20"/>
    </w:rPr>
  </w:style>
  <w:style w:type="character" w:customStyle="1" w:styleId="CommentTextChar">
    <w:name w:val="Comment Text Char"/>
    <w:basedOn w:val="DefaultParagraphFont"/>
    <w:link w:val="CommentText"/>
    <w:uiPriority w:val="99"/>
    <w:semiHidden/>
    <w:rsid w:val="00F7682F"/>
    <w:rPr>
      <w:sz w:val="20"/>
      <w:szCs w:val="20"/>
    </w:rPr>
  </w:style>
  <w:style w:type="paragraph" w:styleId="CommentSubject">
    <w:name w:val="annotation subject"/>
    <w:basedOn w:val="CommentText"/>
    <w:next w:val="CommentText"/>
    <w:link w:val="CommentSubjectChar"/>
    <w:uiPriority w:val="99"/>
    <w:semiHidden/>
    <w:unhideWhenUsed/>
    <w:rsid w:val="00F7682F"/>
    <w:rPr>
      <w:b/>
      <w:bCs/>
    </w:rPr>
  </w:style>
  <w:style w:type="character" w:customStyle="1" w:styleId="CommentSubjectChar">
    <w:name w:val="Comment Subject Char"/>
    <w:basedOn w:val="CommentTextChar"/>
    <w:link w:val="CommentSubject"/>
    <w:uiPriority w:val="99"/>
    <w:semiHidden/>
    <w:rsid w:val="00F7682F"/>
    <w:rPr>
      <w:b/>
      <w:bCs/>
      <w:sz w:val="20"/>
      <w:szCs w:val="20"/>
    </w:rPr>
  </w:style>
  <w:style w:type="paragraph" w:styleId="Revision">
    <w:name w:val="Revision"/>
    <w:hidden/>
    <w:uiPriority w:val="99"/>
    <w:semiHidden/>
    <w:rsid w:val="00F7682F"/>
    <w:pPr>
      <w:spacing w:after="0" w:line="240" w:lineRule="auto"/>
    </w:pPr>
  </w:style>
  <w:style w:type="paragraph" w:styleId="BalloonText">
    <w:name w:val="Balloon Text"/>
    <w:basedOn w:val="Normal"/>
    <w:link w:val="BalloonTextChar"/>
    <w:uiPriority w:val="99"/>
    <w:semiHidden/>
    <w:unhideWhenUsed/>
    <w:rsid w:val="00F7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2F"/>
    <w:rPr>
      <w:rFonts w:ascii="Segoe UI" w:hAnsi="Segoe UI" w:cs="Segoe UI"/>
      <w:sz w:val="18"/>
      <w:szCs w:val="18"/>
    </w:rPr>
  </w:style>
  <w:style w:type="table" w:styleId="GridTable1Light-Accent1">
    <w:name w:val="Grid Table 1 Light Accent 1"/>
    <w:basedOn w:val="TableNormal"/>
    <w:uiPriority w:val="46"/>
    <w:rsid w:val="00B801F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6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87509-A747-4D05-9ACC-236308636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Kelly</dc:creator>
  <cp:keywords/>
  <dc:description/>
  <cp:lastModifiedBy>Barry Kelly</cp:lastModifiedBy>
  <cp:revision>2</cp:revision>
  <dcterms:created xsi:type="dcterms:W3CDTF">2024-08-08T18:16:00Z</dcterms:created>
  <dcterms:modified xsi:type="dcterms:W3CDTF">2024-08-08T18:16:00Z</dcterms:modified>
</cp:coreProperties>
</file>