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32C00" w14:textId="77777777" w:rsidR="009D05EF" w:rsidRPr="00745791" w:rsidRDefault="009D05EF" w:rsidP="009D05EF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 w:rsidRPr="00745791">
        <w:rPr>
          <w:rFonts w:ascii="Verdana" w:hAnsi="Verdana"/>
          <w:b/>
          <w:sz w:val="24"/>
          <w:szCs w:val="24"/>
          <w:u w:val="single"/>
        </w:rPr>
        <w:t>Introduction</w:t>
      </w:r>
    </w:p>
    <w:p w14:paraId="38FBF11D" w14:textId="77777777" w:rsidR="009D05EF" w:rsidRPr="00745791" w:rsidRDefault="009D05EF" w:rsidP="001A73C8">
      <w:pPr>
        <w:spacing w:after="0" w:line="240" w:lineRule="auto"/>
        <w:rPr>
          <w:rFonts w:ascii="Verdana" w:hAnsi="Verdana"/>
        </w:rPr>
      </w:pPr>
    </w:p>
    <w:p w14:paraId="345DBBC7" w14:textId="06570B31" w:rsidR="00C32934" w:rsidRDefault="007327DC" w:rsidP="001A73C8">
      <w:pPr>
        <w:spacing w:line="240" w:lineRule="auto"/>
        <w:jc w:val="both"/>
        <w:rPr>
          <w:rFonts w:ascii="Verdana" w:hAnsi="Verdana"/>
        </w:rPr>
      </w:pPr>
      <w:hyperlink r:id="rId7" w:history="1">
        <w:r w:rsidR="009D05EF" w:rsidRPr="000E0D18">
          <w:rPr>
            <w:rStyle w:val="Hyperlink"/>
            <w:rFonts w:ascii="Verdana" w:hAnsi="Verdana"/>
          </w:rPr>
          <w:t>Act 792</w:t>
        </w:r>
      </w:hyperlink>
      <w:r w:rsidR="009D05EF" w:rsidRPr="00745791">
        <w:rPr>
          <w:rFonts w:ascii="Verdana" w:hAnsi="Verdana"/>
        </w:rPr>
        <w:t xml:space="preserve"> of the 2024 Regular Legislative Session enacted R.S.</w:t>
      </w:r>
      <w:r w:rsidR="009D05EF" w:rsidRPr="00745791">
        <w:rPr>
          <w:rStyle w:val="Hyperlink"/>
          <w:rFonts w:ascii="Verdana" w:hAnsi="Verdana"/>
          <w:u w:val="none"/>
        </w:rPr>
        <w:t xml:space="preserve"> </w:t>
      </w:r>
      <w:r w:rsidR="009D05EF" w:rsidRPr="00745791">
        <w:rPr>
          <w:rFonts w:ascii="Verdana" w:hAnsi="Verdana"/>
        </w:rPr>
        <w:t>24:513.5</w:t>
      </w:r>
      <w:r w:rsidR="00C32934">
        <w:rPr>
          <w:rFonts w:ascii="Verdana" w:hAnsi="Verdana"/>
        </w:rPr>
        <w:t>. This law</w:t>
      </w:r>
      <w:r w:rsidR="009D05EF" w:rsidRPr="00745791">
        <w:rPr>
          <w:rFonts w:ascii="Verdana" w:hAnsi="Verdana"/>
        </w:rPr>
        <w:t xml:space="preserve"> requires </w:t>
      </w:r>
      <w:r w:rsidR="00AE432D">
        <w:rPr>
          <w:rFonts w:ascii="Verdana" w:hAnsi="Verdana"/>
        </w:rPr>
        <w:t>all</w:t>
      </w:r>
      <w:r w:rsidR="009D05EF" w:rsidRPr="00745791">
        <w:rPr>
          <w:rFonts w:ascii="Verdana" w:hAnsi="Verdana"/>
        </w:rPr>
        <w:t xml:space="preserve"> political subdivisions</w:t>
      </w:r>
      <w:r w:rsidR="001D5323">
        <w:rPr>
          <w:rFonts w:ascii="Verdana" w:hAnsi="Verdana"/>
        </w:rPr>
        <w:t xml:space="preserve">, </w:t>
      </w:r>
      <w:r w:rsidR="001D5323" w:rsidRPr="00CF5DBB">
        <w:rPr>
          <w:rFonts w:ascii="Verdana" w:hAnsi="Verdana"/>
          <w:b/>
        </w:rPr>
        <w:t>except those created by a home rule charter or governed by a police jury</w:t>
      </w:r>
      <w:r w:rsidR="001D5323">
        <w:rPr>
          <w:rFonts w:ascii="Verdana" w:hAnsi="Verdana"/>
        </w:rPr>
        <w:t>,</w:t>
      </w:r>
      <w:r w:rsidR="00075C42">
        <w:rPr>
          <w:rFonts w:ascii="Verdana" w:hAnsi="Verdana"/>
        </w:rPr>
        <w:t xml:space="preserve"> that at any point in the current or immediately prior year had total outstanding judgments, whether by a court of law or consent of the parties, </w:t>
      </w:r>
      <w:r w:rsidR="00075C42" w:rsidRPr="00CF5DBB">
        <w:rPr>
          <w:rFonts w:ascii="Verdana" w:hAnsi="Verdana"/>
          <w:b/>
        </w:rPr>
        <w:t>in excess of $7</w:t>
      </w:r>
      <w:r w:rsidR="00FF7FF6" w:rsidRPr="00CF5DBB">
        <w:rPr>
          <w:rFonts w:ascii="Verdana" w:hAnsi="Verdana"/>
          <w:b/>
        </w:rPr>
        <w:t>,500,000</w:t>
      </w:r>
      <w:r w:rsidR="00075C42">
        <w:rPr>
          <w:rFonts w:ascii="Verdana" w:hAnsi="Verdana"/>
        </w:rPr>
        <w:t>, exclu</w:t>
      </w:r>
      <w:r w:rsidR="00FF7FF6">
        <w:rPr>
          <w:rFonts w:ascii="Verdana" w:hAnsi="Verdana"/>
        </w:rPr>
        <w:t>d</w:t>
      </w:r>
      <w:r w:rsidR="00075C42">
        <w:rPr>
          <w:rFonts w:ascii="Verdana" w:hAnsi="Verdana"/>
        </w:rPr>
        <w:t>ing accrued interest</w:t>
      </w:r>
      <w:r w:rsidR="009D05EF" w:rsidRPr="00745791">
        <w:rPr>
          <w:rFonts w:ascii="Verdana" w:hAnsi="Verdana"/>
        </w:rPr>
        <w:t xml:space="preserve"> </w:t>
      </w:r>
      <w:r w:rsidR="00C32934">
        <w:rPr>
          <w:rFonts w:ascii="Verdana" w:hAnsi="Verdana"/>
        </w:rPr>
        <w:t xml:space="preserve">to </w:t>
      </w:r>
      <w:r w:rsidR="00FF7FF6">
        <w:rPr>
          <w:rFonts w:ascii="Verdana" w:hAnsi="Verdana"/>
        </w:rPr>
        <w:t xml:space="preserve">include in </w:t>
      </w:r>
      <w:r w:rsidR="00057BDE">
        <w:rPr>
          <w:rFonts w:ascii="Verdana" w:hAnsi="Verdana"/>
        </w:rPr>
        <w:t>their annual audit report, review/attestation report, or compilation report</w:t>
      </w:r>
      <w:r w:rsidR="00FF7FF6">
        <w:rPr>
          <w:rFonts w:ascii="Verdana" w:hAnsi="Verdana"/>
        </w:rPr>
        <w:t xml:space="preserve"> a complete list of all</w:t>
      </w:r>
      <w:r w:rsidR="00C32934">
        <w:rPr>
          <w:rFonts w:ascii="Verdana" w:hAnsi="Verdana"/>
        </w:rPr>
        <w:t xml:space="preserve"> outstanding </w:t>
      </w:r>
      <w:r w:rsidR="00541E32">
        <w:rPr>
          <w:rFonts w:ascii="Verdana" w:hAnsi="Verdana"/>
        </w:rPr>
        <w:t>(</w:t>
      </w:r>
      <w:r w:rsidR="00C32934">
        <w:rPr>
          <w:rFonts w:ascii="Verdana" w:hAnsi="Verdana"/>
        </w:rPr>
        <w:t>unpaid</w:t>
      </w:r>
      <w:r w:rsidR="00541E32">
        <w:rPr>
          <w:rFonts w:ascii="Verdana" w:hAnsi="Verdana"/>
        </w:rPr>
        <w:t>)</w:t>
      </w:r>
      <w:r w:rsidR="00C32934">
        <w:rPr>
          <w:rFonts w:ascii="Verdana" w:hAnsi="Verdana"/>
        </w:rPr>
        <w:t xml:space="preserve"> judgments</w:t>
      </w:r>
      <w:r w:rsidR="00FF7FF6">
        <w:rPr>
          <w:rFonts w:ascii="Verdana" w:hAnsi="Verdana"/>
        </w:rPr>
        <w:t>, including consent judgments, settlement agreements, and compromise agreements.</w:t>
      </w:r>
      <w:r w:rsidR="00C32934">
        <w:rPr>
          <w:rFonts w:ascii="Verdana" w:hAnsi="Verdana"/>
        </w:rPr>
        <w:t xml:space="preserve">  </w:t>
      </w:r>
    </w:p>
    <w:p w14:paraId="0AF99DC2" w14:textId="5FDA3904" w:rsidR="009D05EF" w:rsidRPr="00745791" w:rsidRDefault="009D05EF" w:rsidP="00D6314C">
      <w:pPr>
        <w:spacing w:after="0" w:line="240" w:lineRule="auto"/>
        <w:jc w:val="both"/>
        <w:rPr>
          <w:rFonts w:ascii="Verdana" w:hAnsi="Verdana"/>
        </w:rPr>
      </w:pPr>
      <w:r w:rsidRPr="00745791">
        <w:rPr>
          <w:rFonts w:ascii="Verdana" w:hAnsi="Verdana"/>
        </w:rPr>
        <w:t xml:space="preserve">The </w:t>
      </w:r>
      <w:r w:rsidR="00FA2B89">
        <w:rPr>
          <w:rFonts w:ascii="Verdana" w:hAnsi="Verdana"/>
        </w:rPr>
        <w:t xml:space="preserve">Act </w:t>
      </w:r>
      <w:r w:rsidRPr="00745791">
        <w:rPr>
          <w:rFonts w:ascii="Verdana" w:hAnsi="Verdana"/>
        </w:rPr>
        <w:t>require</w:t>
      </w:r>
      <w:r w:rsidR="00FA2B89">
        <w:rPr>
          <w:rFonts w:ascii="Verdana" w:hAnsi="Verdana"/>
        </w:rPr>
        <w:t>s the LLA</w:t>
      </w:r>
      <w:r w:rsidRPr="00745791">
        <w:rPr>
          <w:rFonts w:ascii="Verdana" w:hAnsi="Verdana"/>
        </w:rPr>
        <w:t xml:space="preserve"> to </w:t>
      </w:r>
      <w:r w:rsidR="00057BDE">
        <w:rPr>
          <w:rFonts w:ascii="Verdana" w:hAnsi="Verdana"/>
        </w:rPr>
        <w:t xml:space="preserve">compile these reports into a single </w:t>
      </w:r>
      <w:r w:rsidRPr="00745791">
        <w:rPr>
          <w:rFonts w:ascii="Verdana" w:hAnsi="Verdana"/>
        </w:rPr>
        <w:t xml:space="preserve">biennial report </w:t>
      </w:r>
      <w:r w:rsidR="00057BDE">
        <w:rPr>
          <w:rFonts w:ascii="Verdana" w:hAnsi="Verdana"/>
        </w:rPr>
        <w:t xml:space="preserve">which is submitted to </w:t>
      </w:r>
      <w:r w:rsidRPr="00745791">
        <w:rPr>
          <w:rFonts w:ascii="Verdana" w:hAnsi="Verdana"/>
        </w:rPr>
        <w:t>the Joint Legislative Committee of the Budget (JLCB) and Governor with the first report due on or before December 1, 2025.</w:t>
      </w:r>
    </w:p>
    <w:p w14:paraId="2525D480" w14:textId="77777777" w:rsidR="009D05EF" w:rsidRPr="00D6314C" w:rsidRDefault="009D05EF" w:rsidP="00D6314C">
      <w:pPr>
        <w:spacing w:after="0" w:line="240" w:lineRule="auto"/>
        <w:rPr>
          <w:rFonts w:ascii="Verdana" w:hAnsi="Verdana"/>
          <w:sz w:val="16"/>
        </w:rPr>
      </w:pPr>
    </w:p>
    <w:p w14:paraId="3755EEBE" w14:textId="77777777" w:rsidR="009D05EF" w:rsidRPr="00745791" w:rsidRDefault="009D05EF" w:rsidP="001A73C8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  <w:r w:rsidRPr="00745791">
        <w:rPr>
          <w:rFonts w:ascii="Verdana" w:hAnsi="Verdana"/>
          <w:b/>
          <w:sz w:val="24"/>
          <w:szCs w:val="24"/>
          <w:u w:val="single"/>
        </w:rPr>
        <w:t>General Requirements</w:t>
      </w:r>
    </w:p>
    <w:p w14:paraId="76B4CA5C" w14:textId="77777777" w:rsidR="009D05EF" w:rsidRPr="00745791" w:rsidRDefault="009D05EF" w:rsidP="001A73C8">
      <w:pPr>
        <w:spacing w:after="0" w:line="240" w:lineRule="auto"/>
        <w:rPr>
          <w:rFonts w:ascii="Verdana" w:hAnsi="Verdana"/>
        </w:rPr>
      </w:pPr>
    </w:p>
    <w:p w14:paraId="10C41560" w14:textId="1FC5EEC1" w:rsidR="009D05EF" w:rsidRPr="00847BC4" w:rsidRDefault="009D05EF" w:rsidP="00064E49">
      <w:pPr>
        <w:spacing w:after="0" w:line="240" w:lineRule="auto"/>
        <w:jc w:val="both"/>
        <w:rPr>
          <w:rFonts w:ascii="Verdana" w:hAnsi="Verdana"/>
        </w:rPr>
      </w:pPr>
      <w:r w:rsidRPr="006E7BF7">
        <w:rPr>
          <w:rFonts w:ascii="Verdana" w:hAnsi="Verdana"/>
        </w:rPr>
        <w:t xml:space="preserve">To satisfy the requirements of the Act, the LLA </w:t>
      </w:r>
      <w:r w:rsidR="00745791" w:rsidRPr="006E7BF7">
        <w:rPr>
          <w:rFonts w:ascii="Verdana" w:hAnsi="Verdana"/>
        </w:rPr>
        <w:t>has</w:t>
      </w:r>
      <w:r w:rsidRPr="006E7BF7">
        <w:rPr>
          <w:rFonts w:ascii="Verdana" w:hAnsi="Verdana"/>
        </w:rPr>
        <w:t xml:space="preserve"> developed the Schedule of </w:t>
      </w:r>
      <w:r w:rsidR="00745791" w:rsidRPr="006E7BF7">
        <w:rPr>
          <w:rFonts w:ascii="Verdana" w:hAnsi="Verdana"/>
        </w:rPr>
        <w:t>Outstanding Judgments</w:t>
      </w:r>
      <w:r w:rsidR="004F5DE8">
        <w:rPr>
          <w:rFonts w:ascii="Verdana" w:hAnsi="Verdana"/>
        </w:rPr>
        <w:t xml:space="preserve"> and Agreements</w:t>
      </w:r>
      <w:r w:rsidRPr="006E7BF7">
        <w:rPr>
          <w:rFonts w:ascii="Verdana" w:hAnsi="Verdana"/>
        </w:rPr>
        <w:t xml:space="preserve"> (Schedule</w:t>
      </w:r>
      <w:r w:rsidR="00951EAF" w:rsidRPr="006E7BF7">
        <w:rPr>
          <w:rFonts w:ascii="Verdana" w:hAnsi="Verdana"/>
        </w:rPr>
        <w:t xml:space="preserve">). </w:t>
      </w:r>
      <w:r w:rsidR="00CB2A6E" w:rsidRPr="006E7BF7">
        <w:rPr>
          <w:rFonts w:ascii="Verdana" w:hAnsi="Verdana"/>
        </w:rPr>
        <w:t>T</w:t>
      </w:r>
      <w:r w:rsidRPr="006E7BF7">
        <w:rPr>
          <w:rFonts w:ascii="Verdana" w:hAnsi="Verdana"/>
        </w:rPr>
        <w:t xml:space="preserve">he Schedule should be </w:t>
      </w:r>
      <w:r w:rsidR="00D92003">
        <w:rPr>
          <w:rFonts w:ascii="Verdana" w:hAnsi="Verdana"/>
        </w:rPr>
        <w:t>reported</w:t>
      </w:r>
      <w:r w:rsidR="00D92003" w:rsidRPr="006E7BF7">
        <w:rPr>
          <w:rFonts w:ascii="Verdana" w:hAnsi="Verdana"/>
        </w:rPr>
        <w:t xml:space="preserve"> </w:t>
      </w:r>
      <w:r w:rsidR="00CB2A6E" w:rsidRPr="006E7BF7">
        <w:rPr>
          <w:rFonts w:ascii="Verdana" w:hAnsi="Verdana"/>
        </w:rPr>
        <w:t xml:space="preserve">in </w:t>
      </w:r>
      <w:r w:rsidR="000E0D18">
        <w:rPr>
          <w:rFonts w:ascii="Verdana" w:hAnsi="Verdana"/>
        </w:rPr>
        <w:t xml:space="preserve">the </w:t>
      </w:r>
      <w:r w:rsidR="00C12E09">
        <w:rPr>
          <w:rFonts w:ascii="Verdana" w:hAnsi="Verdana"/>
        </w:rPr>
        <w:t xml:space="preserve">Supplementary Information section of </w:t>
      </w:r>
      <w:r w:rsidR="00CB2A6E" w:rsidRPr="006E7BF7">
        <w:rPr>
          <w:rFonts w:ascii="Verdana" w:hAnsi="Verdana"/>
        </w:rPr>
        <w:t>the</w:t>
      </w:r>
      <w:r w:rsidR="00FA2B89">
        <w:rPr>
          <w:rFonts w:ascii="Verdana" w:hAnsi="Verdana"/>
        </w:rPr>
        <w:t xml:space="preserve"> </w:t>
      </w:r>
      <w:r w:rsidR="000E0D18">
        <w:rPr>
          <w:rFonts w:ascii="Verdana" w:hAnsi="Verdana"/>
        </w:rPr>
        <w:t xml:space="preserve">applicable </w:t>
      </w:r>
      <w:r w:rsidR="00CB2A6E" w:rsidRPr="006E7BF7">
        <w:rPr>
          <w:rFonts w:ascii="Verdana" w:hAnsi="Verdana"/>
        </w:rPr>
        <w:t xml:space="preserve">local government’s </w:t>
      </w:r>
      <w:r w:rsidR="006E7BF7" w:rsidRPr="006E7BF7">
        <w:rPr>
          <w:rFonts w:ascii="Verdana" w:hAnsi="Verdana"/>
        </w:rPr>
        <w:t xml:space="preserve">audit </w:t>
      </w:r>
      <w:r w:rsidR="00CB2A6E" w:rsidRPr="006E7BF7">
        <w:rPr>
          <w:rFonts w:ascii="Verdana" w:hAnsi="Verdana"/>
        </w:rPr>
        <w:t>report</w:t>
      </w:r>
      <w:r w:rsidR="00C12E09">
        <w:rPr>
          <w:rFonts w:ascii="Verdana" w:hAnsi="Verdana"/>
        </w:rPr>
        <w:t>, review/attestation report</w:t>
      </w:r>
      <w:r w:rsidR="000E0D18">
        <w:rPr>
          <w:rFonts w:ascii="Verdana" w:hAnsi="Verdana"/>
        </w:rPr>
        <w:t xml:space="preserve"> or </w:t>
      </w:r>
      <w:r w:rsidR="00C12E09">
        <w:rPr>
          <w:rFonts w:ascii="Verdana" w:hAnsi="Verdana"/>
        </w:rPr>
        <w:t>compilation report</w:t>
      </w:r>
      <w:r w:rsidR="00CB2A6E" w:rsidRPr="006E7BF7">
        <w:rPr>
          <w:rFonts w:ascii="Verdana" w:hAnsi="Verdana"/>
        </w:rPr>
        <w:t xml:space="preserve"> </w:t>
      </w:r>
      <w:r w:rsidRPr="006E7BF7">
        <w:rPr>
          <w:rFonts w:ascii="Verdana" w:hAnsi="Verdana"/>
        </w:rPr>
        <w:t xml:space="preserve">beginning for fiscal years ending on or after </w:t>
      </w:r>
      <w:r w:rsidR="00847BC4" w:rsidRPr="006E7BF7">
        <w:rPr>
          <w:rFonts w:ascii="Verdana" w:hAnsi="Verdana"/>
        </w:rPr>
        <w:t>July</w:t>
      </w:r>
      <w:r w:rsidRPr="006E7BF7">
        <w:rPr>
          <w:rFonts w:ascii="Verdana" w:hAnsi="Verdana"/>
        </w:rPr>
        <w:t xml:space="preserve"> 31, 202</w:t>
      </w:r>
      <w:r w:rsidR="00847BC4" w:rsidRPr="006E7BF7">
        <w:rPr>
          <w:rFonts w:ascii="Verdana" w:hAnsi="Verdana"/>
        </w:rPr>
        <w:t>4</w:t>
      </w:r>
      <w:r w:rsidRPr="006E7BF7">
        <w:rPr>
          <w:rFonts w:ascii="Verdana" w:hAnsi="Verdana"/>
        </w:rPr>
        <w:t>.</w:t>
      </w:r>
      <w:r w:rsidR="006038DE">
        <w:rPr>
          <w:rFonts w:ascii="Verdana" w:hAnsi="Verdana"/>
        </w:rPr>
        <w:t xml:space="preserve"> In addition, the spreadsheet is required to be uploaded when the audit report is submitted through the Local Government Reporting System (“portal”).</w:t>
      </w:r>
    </w:p>
    <w:p w14:paraId="4D74B15B" w14:textId="77777777" w:rsidR="009D05EF" w:rsidRPr="00745791" w:rsidRDefault="009D05EF" w:rsidP="00064E49">
      <w:pPr>
        <w:spacing w:after="0" w:line="240" w:lineRule="auto"/>
        <w:jc w:val="both"/>
        <w:rPr>
          <w:rFonts w:ascii="Verdana" w:hAnsi="Verdana"/>
          <w:highlight w:val="yellow"/>
        </w:rPr>
      </w:pPr>
    </w:p>
    <w:p w14:paraId="69FADD48" w14:textId="77777777" w:rsidR="00D6314C" w:rsidRPr="00D6314C" w:rsidRDefault="00D6314C" w:rsidP="00D6314C">
      <w:pPr>
        <w:spacing w:after="0" w:line="240" w:lineRule="auto"/>
        <w:jc w:val="both"/>
        <w:rPr>
          <w:rFonts w:ascii="Verdana" w:hAnsi="Verdana"/>
          <w:sz w:val="16"/>
        </w:rPr>
      </w:pPr>
    </w:p>
    <w:p w14:paraId="58081023" w14:textId="77777777" w:rsidR="007A36CA" w:rsidRPr="00745791" w:rsidRDefault="007A36CA" w:rsidP="00D6314C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  <w:r w:rsidRPr="00745791">
        <w:rPr>
          <w:rFonts w:ascii="Verdana" w:hAnsi="Verdana"/>
          <w:b/>
          <w:sz w:val="24"/>
          <w:szCs w:val="24"/>
          <w:u w:val="single"/>
        </w:rPr>
        <w:t>Instructions</w:t>
      </w:r>
    </w:p>
    <w:p w14:paraId="485FE7A8" w14:textId="77777777" w:rsidR="007A36CA" w:rsidRPr="00D6314C" w:rsidRDefault="007A36CA" w:rsidP="007A36CA">
      <w:pPr>
        <w:spacing w:after="0" w:line="240" w:lineRule="auto"/>
        <w:rPr>
          <w:rFonts w:ascii="Verdana" w:hAnsi="Verdana"/>
          <w:sz w:val="16"/>
          <w:highlight w:val="yellow"/>
        </w:rPr>
      </w:pPr>
    </w:p>
    <w:p w14:paraId="2246E2D0" w14:textId="77777777" w:rsidR="007A36CA" w:rsidRPr="001A73C8" w:rsidRDefault="007A36CA" w:rsidP="007A36CA">
      <w:pPr>
        <w:spacing w:after="0" w:line="240" w:lineRule="auto"/>
        <w:rPr>
          <w:rFonts w:ascii="Verdana" w:hAnsi="Verdana"/>
        </w:rPr>
      </w:pPr>
      <w:r w:rsidRPr="001A73C8">
        <w:rPr>
          <w:rFonts w:ascii="Verdana" w:hAnsi="Verdana"/>
        </w:rPr>
        <w:t>The following information provides guidance and instructions for reporting the required data in each section of the Schedule:</w:t>
      </w:r>
    </w:p>
    <w:p w14:paraId="147803AE" w14:textId="77777777" w:rsidR="007A36CA" w:rsidRPr="001A73C8" w:rsidRDefault="007A36CA" w:rsidP="007A36CA">
      <w:pPr>
        <w:spacing w:after="0" w:line="240" w:lineRule="auto"/>
        <w:rPr>
          <w:rFonts w:ascii="Verdana" w:hAnsi="Verdana"/>
          <w:highlight w:val="yellow"/>
        </w:rPr>
      </w:pPr>
    </w:p>
    <w:p w14:paraId="5B31F3F0" w14:textId="77777777" w:rsidR="007A36CA" w:rsidRPr="001A73C8" w:rsidRDefault="007A36CA" w:rsidP="007A36C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</w:rPr>
      </w:pPr>
      <w:r w:rsidRPr="001A73C8">
        <w:rPr>
          <w:rFonts w:ascii="Verdana" w:eastAsia="Times New Roman" w:hAnsi="Verdana" w:cs="Times New Roman"/>
        </w:rPr>
        <w:t>Enter your agency name and the fiscal year</w:t>
      </w:r>
      <w:r>
        <w:rPr>
          <w:rFonts w:ascii="Verdana" w:eastAsia="Times New Roman" w:hAnsi="Verdana" w:cs="Times New Roman"/>
        </w:rPr>
        <w:t>-</w:t>
      </w:r>
      <w:r w:rsidRPr="001A73C8">
        <w:rPr>
          <w:rFonts w:ascii="Verdana" w:eastAsia="Times New Roman" w:hAnsi="Verdana" w:cs="Times New Roman"/>
        </w:rPr>
        <w:t>end</w:t>
      </w:r>
      <w:r>
        <w:rPr>
          <w:rFonts w:ascii="Verdana" w:eastAsia="Times New Roman" w:hAnsi="Verdana" w:cs="Times New Roman"/>
        </w:rPr>
        <w:t xml:space="preserve"> into the Schedule’s Header</w:t>
      </w:r>
      <w:r w:rsidRPr="001A73C8">
        <w:rPr>
          <w:rFonts w:ascii="Verdana" w:eastAsia="Times New Roman" w:hAnsi="Verdana" w:cs="Times New Roman"/>
        </w:rPr>
        <w:t>.</w:t>
      </w:r>
    </w:p>
    <w:p w14:paraId="06A76598" w14:textId="7F012BE7" w:rsidR="007A36CA" w:rsidRPr="00745791" w:rsidRDefault="007A36CA" w:rsidP="007A36C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Select the</w:t>
      </w:r>
      <w:r w:rsidRPr="001A73C8">
        <w:rPr>
          <w:rFonts w:ascii="Verdana" w:eastAsia="Times New Roman" w:hAnsi="Verdana" w:cs="Times New Roman"/>
        </w:rPr>
        <w:t xml:space="preserve"> type of judgment (Court Order, Consent Judgment, Compromise Agreement, or Settlement Agreement</w:t>
      </w:r>
      <w:r>
        <w:rPr>
          <w:rFonts w:ascii="Verdana" w:eastAsia="Times New Roman" w:hAnsi="Verdana" w:cs="Times New Roman"/>
        </w:rPr>
        <w:t>)</w:t>
      </w:r>
      <w:r w:rsidR="0096195F">
        <w:rPr>
          <w:rFonts w:ascii="Verdana" w:eastAsia="Times New Roman" w:hAnsi="Verdana" w:cs="Times New Roman"/>
        </w:rPr>
        <w:t xml:space="preserve"> from the </w:t>
      </w:r>
      <w:r w:rsidR="00E30DA7">
        <w:rPr>
          <w:rFonts w:ascii="Verdana" w:eastAsia="Times New Roman" w:hAnsi="Verdana" w:cs="Times New Roman"/>
        </w:rPr>
        <w:t>drop-down</w:t>
      </w:r>
      <w:r w:rsidR="0096195F">
        <w:rPr>
          <w:rFonts w:ascii="Verdana" w:eastAsia="Times New Roman" w:hAnsi="Verdana" w:cs="Times New Roman"/>
        </w:rPr>
        <w:t xml:space="preserve"> menu</w:t>
      </w:r>
      <w:r>
        <w:rPr>
          <w:rFonts w:ascii="Verdana" w:eastAsia="Times New Roman" w:hAnsi="Verdana" w:cs="Times New Roman"/>
        </w:rPr>
        <w:t>.</w:t>
      </w:r>
    </w:p>
    <w:p w14:paraId="5EF11C42" w14:textId="77777777" w:rsidR="007A36CA" w:rsidRDefault="007A36CA" w:rsidP="007A36C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Enter the Caption and Number of the Matter, if filed in Court, or enter the Agreement Name.</w:t>
      </w:r>
    </w:p>
    <w:p w14:paraId="62D5F7FA" w14:textId="77777777" w:rsidR="007A36CA" w:rsidRPr="001A73C8" w:rsidRDefault="007A36CA" w:rsidP="007A36C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</w:rPr>
      </w:pPr>
      <w:r w:rsidRPr="001A73C8">
        <w:rPr>
          <w:rFonts w:ascii="Verdana" w:eastAsia="Times New Roman" w:hAnsi="Verdana" w:cs="Times New Roman"/>
        </w:rPr>
        <w:t>Enter the name of the court in which the matter was filed, if applicable.</w:t>
      </w:r>
      <w:r>
        <w:rPr>
          <w:rFonts w:ascii="Verdana" w:eastAsia="Times New Roman" w:hAnsi="Verdana" w:cs="Times New Roman"/>
        </w:rPr>
        <w:t xml:space="preserve"> Enter N/A if not applicable. </w:t>
      </w:r>
    </w:p>
    <w:p w14:paraId="45971028" w14:textId="77777777" w:rsidR="007A36CA" w:rsidRPr="001A73C8" w:rsidRDefault="007A36CA" w:rsidP="007A36C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</w:rPr>
      </w:pPr>
      <w:r w:rsidRPr="001A73C8">
        <w:rPr>
          <w:rFonts w:ascii="Verdana" w:eastAsia="Times New Roman" w:hAnsi="Verdana" w:cs="Times New Roman"/>
        </w:rPr>
        <w:t>Enter the date of the judgment or</w:t>
      </w:r>
      <w:r w:rsidR="0096195F">
        <w:rPr>
          <w:rFonts w:ascii="Verdana" w:eastAsia="Times New Roman" w:hAnsi="Verdana" w:cs="Times New Roman"/>
        </w:rPr>
        <w:t xml:space="preserve"> date the</w:t>
      </w:r>
      <w:r w:rsidRPr="001A73C8">
        <w:rPr>
          <w:rFonts w:ascii="Verdana" w:eastAsia="Times New Roman" w:hAnsi="Verdana" w:cs="Times New Roman"/>
        </w:rPr>
        <w:t xml:space="preserve"> agreement</w:t>
      </w:r>
      <w:r w:rsidR="0096195F">
        <w:rPr>
          <w:rFonts w:ascii="Verdana" w:eastAsia="Times New Roman" w:hAnsi="Verdana" w:cs="Times New Roman"/>
        </w:rPr>
        <w:t xml:space="preserve"> was entered</w:t>
      </w:r>
      <w:r w:rsidRPr="001A73C8">
        <w:rPr>
          <w:rFonts w:ascii="Verdana" w:eastAsia="Times New Roman" w:hAnsi="Verdana" w:cs="Times New Roman"/>
        </w:rPr>
        <w:t>.</w:t>
      </w:r>
    </w:p>
    <w:p w14:paraId="4F539C4E" w14:textId="77777777" w:rsidR="007A36CA" w:rsidRPr="001A73C8" w:rsidRDefault="007A36CA" w:rsidP="007A36C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</w:rPr>
      </w:pPr>
      <w:r w:rsidRPr="001A73C8">
        <w:rPr>
          <w:rFonts w:ascii="Verdana" w:eastAsia="Times New Roman" w:hAnsi="Verdana" w:cs="Times New Roman"/>
        </w:rPr>
        <w:t>Enter the amount of the original judgment or agreement</w:t>
      </w:r>
      <w:r>
        <w:rPr>
          <w:rFonts w:ascii="Verdana" w:eastAsia="Times New Roman" w:hAnsi="Verdana" w:cs="Times New Roman"/>
        </w:rPr>
        <w:t>, excluding any subsequent accrued interest.</w:t>
      </w:r>
    </w:p>
    <w:p w14:paraId="55A04B01" w14:textId="7DF93CF8" w:rsidR="007A36CA" w:rsidRPr="00E30DA7" w:rsidRDefault="007A36CA" w:rsidP="007A36CA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eastAsia="Times New Roman" w:hAnsi="Verdana" w:cs="Times New Roman"/>
        </w:rPr>
        <w:t>Add additional judgmen</w:t>
      </w:r>
      <w:r w:rsidRPr="001A73C8">
        <w:rPr>
          <w:rFonts w:ascii="Verdana" w:eastAsia="Times New Roman" w:hAnsi="Verdana" w:cs="Times New Roman"/>
        </w:rPr>
        <w:t>t</w:t>
      </w:r>
      <w:r>
        <w:rPr>
          <w:rFonts w:ascii="Verdana" w:eastAsia="Times New Roman" w:hAnsi="Verdana" w:cs="Times New Roman"/>
        </w:rPr>
        <w:t>s as needed</w:t>
      </w:r>
      <w:r w:rsidRPr="001A73C8">
        <w:rPr>
          <w:rFonts w:ascii="Verdana" w:eastAsia="Times New Roman" w:hAnsi="Verdana" w:cs="Times New Roman"/>
        </w:rPr>
        <w:t>.</w:t>
      </w:r>
    </w:p>
    <w:p w14:paraId="5DA4EC67" w14:textId="724D02A0" w:rsidR="00C12E09" w:rsidRPr="001A73C8" w:rsidRDefault="00C12E09" w:rsidP="007A36CA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The Schedule will calculate the total amount of outstanding judgments and agreements.</w:t>
      </w:r>
    </w:p>
    <w:p w14:paraId="016A4A12" w14:textId="77777777" w:rsidR="00D6314C" w:rsidRDefault="00D6314C" w:rsidP="007A36CA">
      <w:pPr>
        <w:spacing w:after="0" w:line="240" w:lineRule="auto"/>
        <w:rPr>
          <w:rFonts w:ascii="Verdana" w:hAnsi="Verdana"/>
        </w:rPr>
      </w:pPr>
    </w:p>
    <w:p w14:paraId="65A84CCF" w14:textId="77777777" w:rsidR="009D05EF" w:rsidRDefault="007A36CA" w:rsidP="007A36CA">
      <w:pPr>
        <w:spacing w:after="0" w:line="240" w:lineRule="auto"/>
        <w:rPr>
          <w:rFonts w:ascii="Verdana" w:hAnsi="Verdana"/>
        </w:rPr>
      </w:pPr>
      <w:r w:rsidRPr="001A73C8">
        <w:rPr>
          <w:rFonts w:ascii="Verdana" w:hAnsi="Verdana"/>
        </w:rPr>
        <w:t xml:space="preserve">For any additional questions please contact Barry O. Kelly, MBA, CIA, at </w:t>
      </w:r>
      <w:hyperlink r:id="rId8" w:history="1">
        <w:r w:rsidRPr="001A73C8">
          <w:rPr>
            <w:rStyle w:val="Hyperlink"/>
            <w:rFonts w:ascii="Verdana" w:hAnsi="Verdana"/>
          </w:rPr>
          <w:t>bkelly@lla.la.gov</w:t>
        </w:r>
      </w:hyperlink>
      <w:r w:rsidRPr="001A73C8">
        <w:rPr>
          <w:rFonts w:ascii="Verdana" w:hAnsi="Verdana"/>
        </w:rPr>
        <w:t xml:space="preserve"> or (225) 339-3831.</w:t>
      </w:r>
    </w:p>
    <w:p w14:paraId="04978ADA" w14:textId="77777777" w:rsidR="00FF7FF6" w:rsidRDefault="00FF7FF6" w:rsidP="007A36CA">
      <w:pPr>
        <w:spacing w:after="0" w:line="240" w:lineRule="auto"/>
        <w:rPr>
          <w:rFonts w:ascii="Verdana" w:hAnsi="Verdana"/>
        </w:rPr>
      </w:pPr>
    </w:p>
    <w:p w14:paraId="44B6907B" w14:textId="77777777" w:rsidR="00FF7FF6" w:rsidRDefault="00FF7FF6" w:rsidP="007A36CA">
      <w:pPr>
        <w:spacing w:after="0" w:line="240" w:lineRule="auto"/>
        <w:rPr>
          <w:rFonts w:ascii="Verdana" w:hAnsi="Verdana"/>
        </w:rPr>
      </w:pPr>
    </w:p>
    <w:p w14:paraId="2AD19CDF" w14:textId="1848B140" w:rsidR="00FF7FF6" w:rsidRDefault="00FF7FF6" w:rsidP="007A36CA">
      <w:pPr>
        <w:spacing w:after="0" w:line="240" w:lineRule="auto"/>
        <w:rPr>
          <w:rFonts w:ascii="Verdana" w:hAnsi="Verdana"/>
          <w:b/>
          <w:u w:val="single"/>
        </w:rPr>
      </w:pPr>
      <w:r w:rsidRPr="00E30DA7">
        <w:rPr>
          <w:rFonts w:ascii="Verdana" w:hAnsi="Verdana"/>
          <w:b/>
          <w:u w:val="single"/>
        </w:rPr>
        <w:t xml:space="preserve">Other </w:t>
      </w:r>
      <w:r w:rsidR="00E30DA7">
        <w:rPr>
          <w:rFonts w:ascii="Verdana" w:hAnsi="Verdana"/>
          <w:b/>
          <w:u w:val="single"/>
        </w:rPr>
        <w:t>Q</w:t>
      </w:r>
      <w:r w:rsidR="00E30DA7" w:rsidRPr="00E30DA7">
        <w:rPr>
          <w:rFonts w:ascii="Verdana" w:hAnsi="Verdana"/>
          <w:b/>
          <w:u w:val="single"/>
        </w:rPr>
        <w:t>uestions</w:t>
      </w:r>
    </w:p>
    <w:p w14:paraId="37C4B5D9" w14:textId="77777777" w:rsidR="00E30DA7" w:rsidRPr="00E30DA7" w:rsidRDefault="00E30DA7" w:rsidP="007A36CA">
      <w:pPr>
        <w:spacing w:after="0" w:line="240" w:lineRule="auto"/>
        <w:rPr>
          <w:rFonts w:ascii="Verdana" w:hAnsi="Verdana"/>
          <w:b/>
          <w:u w:val="single"/>
        </w:rPr>
      </w:pPr>
    </w:p>
    <w:p w14:paraId="467BD6DA" w14:textId="02ECC731" w:rsidR="00FF7FF6" w:rsidRDefault="00FF7FF6" w:rsidP="00FF7FF6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Will entities be required to upload the </w:t>
      </w:r>
      <w:r w:rsidR="00EA39FF">
        <w:rPr>
          <w:rFonts w:ascii="Verdana" w:hAnsi="Verdana"/>
        </w:rPr>
        <w:t>S</w:t>
      </w:r>
      <w:r w:rsidR="00705C85">
        <w:rPr>
          <w:rFonts w:ascii="Verdana" w:hAnsi="Verdana"/>
        </w:rPr>
        <w:t>chedule</w:t>
      </w:r>
      <w:r>
        <w:rPr>
          <w:rFonts w:ascii="Verdana" w:hAnsi="Verdana"/>
        </w:rPr>
        <w:t xml:space="preserve">? </w:t>
      </w:r>
    </w:p>
    <w:p w14:paraId="24A15B12" w14:textId="06966C50" w:rsidR="00705C85" w:rsidRDefault="006C522E" w:rsidP="00705C85">
      <w:pPr>
        <w:pStyle w:val="ListParagraph"/>
        <w:numPr>
          <w:ilvl w:val="1"/>
          <w:numId w:val="5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Yes. </w:t>
      </w:r>
      <w:r w:rsidR="006038DE">
        <w:rPr>
          <w:rFonts w:ascii="Verdana" w:hAnsi="Verdana"/>
        </w:rPr>
        <w:t xml:space="preserve">When CPAs submit annual financial </w:t>
      </w:r>
      <w:proofErr w:type="gramStart"/>
      <w:r w:rsidR="006038DE">
        <w:rPr>
          <w:rFonts w:ascii="Verdana" w:hAnsi="Verdana"/>
        </w:rPr>
        <w:t>reports</w:t>
      </w:r>
      <w:proofErr w:type="gramEnd"/>
      <w:r w:rsidR="006038DE">
        <w:rPr>
          <w:rFonts w:ascii="Verdana" w:hAnsi="Verdana"/>
        </w:rPr>
        <w:t xml:space="preserve"> they will be required to answer a question on if there is a Schedule of Outstanding Judgments and Agreements. If the answer is </w:t>
      </w:r>
      <w:r w:rsidR="00EA39FF" w:rsidRPr="006C245E">
        <w:rPr>
          <w:rFonts w:ascii="Verdana" w:hAnsi="Verdana"/>
          <w:i/>
        </w:rPr>
        <w:t>Y</w:t>
      </w:r>
      <w:r w:rsidR="006038DE" w:rsidRPr="006C245E">
        <w:rPr>
          <w:rFonts w:ascii="Verdana" w:hAnsi="Verdana"/>
          <w:i/>
        </w:rPr>
        <w:t>es</w:t>
      </w:r>
      <w:r w:rsidR="006038DE">
        <w:rPr>
          <w:rFonts w:ascii="Verdana" w:hAnsi="Verdana"/>
        </w:rPr>
        <w:t xml:space="preserve">, </w:t>
      </w:r>
      <w:r w:rsidR="00705C85" w:rsidRPr="00705C85">
        <w:rPr>
          <w:rFonts w:ascii="Verdana" w:hAnsi="Verdana"/>
        </w:rPr>
        <w:t xml:space="preserve">the CPA is also required to submit a separate copy of the Act </w:t>
      </w:r>
      <w:r w:rsidR="00705C85">
        <w:rPr>
          <w:rFonts w:ascii="Verdana" w:hAnsi="Verdana"/>
        </w:rPr>
        <w:t>792</w:t>
      </w:r>
      <w:r w:rsidR="00705C85" w:rsidRPr="00705C85">
        <w:rPr>
          <w:rFonts w:ascii="Verdana" w:hAnsi="Verdana"/>
        </w:rPr>
        <w:t xml:space="preserve"> schedule</w:t>
      </w:r>
      <w:r w:rsidR="00705C85">
        <w:rPr>
          <w:rFonts w:ascii="Verdana" w:hAnsi="Verdana"/>
        </w:rPr>
        <w:t xml:space="preserve"> </w:t>
      </w:r>
      <w:r w:rsidR="00705C85" w:rsidRPr="00705C85">
        <w:rPr>
          <w:rFonts w:ascii="Verdana" w:hAnsi="Verdana"/>
        </w:rPr>
        <w:t>only, in Excel format, through the Local Government Reporting System.</w:t>
      </w:r>
      <w:r w:rsidR="006038DE">
        <w:rPr>
          <w:rFonts w:ascii="Verdana" w:hAnsi="Verdana"/>
        </w:rPr>
        <w:t xml:space="preserve"> </w:t>
      </w:r>
    </w:p>
    <w:p w14:paraId="0B67A8AD" w14:textId="77777777" w:rsidR="005E0A68" w:rsidRDefault="005E0A68" w:rsidP="005E0A68">
      <w:pPr>
        <w:pStyle w:val="ListParagraph"/>
        <w:spacing w:after="0" w:line="240" w:lineRule="auto"/>
        <w:rPr>
          <w:rFonts w:ascii="Verdana" w:hAnsi="Verdana"/>
        </w:rPr>
      </w:pPr>
    </w:p>
    <w:p w14:paraId="17EE39BF" w14:textId="37715659" w:rsidR="00FF7FF6" w:rsidRDefault="00FF7FF6" w:rsidP="00FF7FF6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Can the Schedule be reformatted? </w:t>
      </w:r>
    </w:p>
    <w:p w14:paraId="18B0C789" w14:textId="006E124C" w:rsidR="002007FE" w:rsidRDefault="006C522E" w:rsidP="00705C85">
      <w:pPr>
        <w:pStyle w:val="ListParagraph"/>
        <w:numPr>
          <w:ilvl w:val="1"/>
          <w:numId w:val="5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Yes, </w:t>
      </w:r>
      <w:r w:rsidR="00A6326F">
        <w:rPr>
          <w:rFonts w:ascii="Verdana" w:hAnsi="Verdana"/>
        </w:rPr>
        <w:t>to some extent</w:t>
      </w:r>
      <w:r>
        <w:rPr>
          <w:rFonts w:ascii="Verdana" w:hAnsi="Verdana"/>
        </w:rPr>
        <w:t xml:space="preserve">. </w:t>
      </w:r>
      <w:r w:rsidR="002007FE" w:rsidRPr="00705C85">
        <w:rPr>
          <w:rFonts w:ascii="Verdana" w:hAnsi="Verdana"/>
        </w:rPr>
        <w:t>We have allowed certain formatting changes so that the schedules can align with the formatting of the rest of the audit report.</w:t>
      </w:r>
      <w:r w:rsidR="00705C85" w:rsidRPr="00705C85">
        <w:rPr>
          <w:rFonts w:ascii="Verdana" w:hAnsi="Verdana"/>
        </w:rPr>
        <w:t xml:space="preserve"> For example, formatting adjustments, such as column width, font style, or row height, are permissible.</w:t>
      </w:r>
      <w:r w:rsidR="002007FE" w:rsidRPr="00705C85">
        <w:rPr>
          <w:rFonts w:ascii="Verdana" w:hAnsi="Verdana"/>
        </w:rPr>
        <w:t xml:space="preserve"> However, key elements must remain unchanged. For instance, </w:t>
      </w:r>
      <w:r w:rsidR="00A6326F">
        <w:rPr>
          <w:rFonts w:ascii="Verdana" w:hAnsi="Verdana"/>
        </w:rPr>
        <w:t xml:space="preserve">the titles of the </w:t>
      </w:r>
      <w:r w:rsidR="006038DE">
        <w:rPr>
          <w:rFonts w:ascii="Verdana" w:hAnsi="Verdana"/>
        </w:rPr>
        <w:t xml:space="preserve"> </w:t>
      </w:r>
      <w:r w:rsidR="00A6326F">
        <w:rPr>
          <w:rFonts w:ascii="Verdana" w:hAnsi="Verdana"/>
        </w:rPr>
        <w:t xml:space="preserve">columns must remain unchanged and </w:t>
      </w:r>
      <w:r w:rsidR="002007FE" w:rsidRPr="00705C85">
        <w:rPr>
          <w:rFonts w:ascii="Verdana" w:hAnsi="Verdana"/>
        </w:rPr>
        <w:t xml:space="preserve">users are required to select one of the options from the drop-down menu in the "Judgment Type" column. </w:t>
      </w:r>
    </w:p>
    <w:p w14:paraId="1B20A6D1" w14:textId="77777777" w:rsidR="00705C85" w:rsidRPr="00705C85" w:rsidRDefault="00705C85" w:rsidP="00705C85">
      <w:pPr>
        <w:pStyle w:val="ListParagraph"/>
        <w:spacing w:after="0" w:line="240" w:lineRule="auto"/>
        <w:ind w:left="1440"/>
        <w:rPr>
          <w:rFonts w:ascii="Verdana" w:hAnsi="Verdana"/>
        </w:rPr>
      </w:pPr>
    </w:p>
    <w:p w14:paraId="292A11FB" w14:textId="068C4E36" w:rsidR="00FF7FF6" w:rsidRDefault="005228AD" w:rsidP="00E30DA7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Is a worker compensation or self</w:t>
      </w:r>
      <w:r w:rsidR="00F93255">
        <w:rPr>
          <w:rFonts w:ascii="Verdana" w:hAnsi="Verdana"/>
        </w:rPr>
        <w:t>-</w:t>
      </w:r>
      <w:r>
        <w:rPr>
          <w:rFonts w:ascii="Verdana" w:hAnsi="Verdana"/>
        </w:rPr>
        <w:t>insurance claim a judgement</w:t>
      </w:r>
      <w:r w:rsidR="00225969">
        <w:rPr>
          <w:rFonts w:ascii="Verdana" w:hAnsi="Verdana"/>
        </w:rPr>
        <w:t xml:space="preserve"> for purposes of this schedule</w:t>
      </w:r>
      <w:r>
        <w:rPr>
          <w:rFonts w:ascii="Verdana" w:hAnsi="Verdana"/>
        </w:rPr>
        <w:t xml:space="preserve">? </w:t>
      </w:r>
    </w:p>
    <w:p w14:paraId="1F785A87" w14:textId="3EDD1CE2" w:rsidR="00705C85" w:rsidRDefault="006B6825" w:rsidP="00705C85">
      <w:pPr>
        <w:pStyle w:val="ListParagraph"/>
        <w:numPr>
          <w:ilvl w:val="1"/>
          <w:numId w:val="5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Workers compensation and self-insurance claims </w:t>
      </w:r>
      <w:r w:rsidR="00225969">
        <w:rPr>
          <w:rFonts w:ascii="Verdana" w:hAnsi="Verdana"/>
        </w:rPr>
        <w:t xml:space="preserve">would not typically be recorded as a judgment, however if such claims have been adjudicated in court they may be considered so. </w:t>
      </w:r>
    </w:p>
    <w:p w14:paraId="70F49F86" w14:textId="77777777" w:rsidR="005E0A68" w:rsidRPr="005E0A68" w:rsidRDefault="005E0A68" w:rsidP="005E0A68">
      <w:pPr>
        <w:spacing w:after="0" w:line="240" w:lineRule="auto"/>
        <w:rPr>
          <w:rFonts w:ascii="Verdana" w:hAnsi="Verdana"/>
        </w:rPr>
      </w:pPr>
    </w:p>
    <w:p w14:paraId="705A2D85" w14:textId="2A131A4D" w:rsidR="005228AD" w:rsidRDefault="005228AD" w:rsidP="00E30DA7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Should amounts be reported </w:t>
      </w:r>
      <w:r w:rsidR="00EA39FF">
        <w:rPr>
          <w:rFonts w:ascii="Verdana" w:hAnsi="Verdana"/>
        </w:rPr>
        <w:t xml:space="preserve">on the Schedule </w:t>
      </w:r>
      <w:r>
        <w:rPr>
          <w:rFonts w:ascii="Verdana" w:hAnsi="Verdana"/>
        </w:rPr>
        <w:t>with or without accrued interest?</w:t>
      </w:r>
    </w:p>
    <w:p w14:paraId="6CD7DC62" w14:textId="3F922D16" w:rsidR="00F93255" w:rsidRPr="00E30DA7" w:rsidRDefault="00EA39FF" w:rsidP="002007FE">
      <w:pPr>
        <w:pStyle w:val="ListParagraph"/>
        <w:numPr>
          <w:ilvl w:val="1"/>
          <w:numId w:val="5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Amounts reported on the </w:t>
      </w:r>
      <w:r w:rsidRPr="006C245E">
        <w:rPr>
          <w:rFonts w:ascii="Verdana" w:hAnsi="Verdana"/>
          <w:i/>
        </w:rPr>
        <w:t>Schedule</w:t>
      </w:r>
      <w:r w:rsidR="002007FE" w:rsidRPr="002007FE">
        <w:rPr>
          <w:rFonts w:ascii="Verdana" w:hAnsi="Verdana"/>
        </w:rPr>
        <w:t xml:space="preserve"> should exclude accrued interest, as Act 792 of the 2024 Regular Session specifically requires that “total outstanding judgments…in excess of seven million five hundred thousand dollars, </w:t>
      </w:r>
      <w:r w:rsidR="002007FE" w:rsidRPr="002007FE">
        <w:rPr>
          <w:rFonts w:ascii="Verdana" w:hAnsi="Verdana"/>
          <w:b/>
        </w:rPr>
        <w:t>exclusive of interest accrued</w:t>
      </w:r>
      <w:r w:rsidR="002007FE" w:rsidRPr="002007FE">
        <w:rPr>
          <w:rFonts w:ascii="Verdana" w:hAnsi="Verdana"/>
        </w:rPr>
        <w:t xml:space="preserve"> thereupon…” be reported to the Legislative Auditor.</w:t>
      </w:r>
      <w:r>
        <w:rPr>
          <w:rFonts w:ascii="Verdana" w:hAnsi="Verdana"/>
        </w:rPr>
        <w:t xml:space="preserve"> </w:t>
      </w:r>
      <w:r w:rsidR="00BD1E01" w:rsidRPr="00BD1E01">
        <w:rPr>
          <w:rFonts w:ascii="Verdana" w:hAnsi="Verdana"/>
        </w:rPr>
        <w:t>GASB Codification Section C50</w:t>
      </w:r>
      <w:r>
        <w:rPr>
          <w:rFonts w:ascii="Verdana" w:hAnsi="Verdana"/>
        </w:rPr>
        <w:t xml:space="preserve"> </w:t>
      </w:r>
      <w:bookmarkStart w:id="0" w:name="_GoBack"/>
      <w:bookmarkEnd w:id="0"/>
      <w:r>
        <w:rPr>
          <w:rFonts w:ascii="Verdana" w:hAnsi="Verdana"/>
        </w:rPr>
        <w:t xml:space="preserve">establishes </w:t>
      </w:r>
      <w:r w:rsidRPr="007D5E97">
        <w:rPr>
          <w:rFonts w:ascii="Verdana" w:hAnsi="Verdana"/>
        </w:rPr>
        <w:t>accounting and financial reporting standards</w:t>
      </w:r>
      <w:r>
        <w:rPr>
          <w:rFonts w:ascii="Verdana" w:hAnsi="Verdana"/>
        </w:rPr>
        <w:t xml:space="preserve"> for claims and judgments</w:t>
      </w:r>
      <w:r w:rsidR="005F59FD">
        <w:rPr>
          <w:rFonts w:ascii="Verdana" w:hAnsi="Verdana"/>
        </w:rPr>
        <w:t xml:space="preserve"> recorded and disclosed in the </w:t>
      </w:r>
      <w:r w:rsidR="005F59FD" w:rsidRPr="006C245E">
        <w:rPr>
          <w:rFonts w:ascii="Verdana" w:hAnsi="Verdana"/>
          <w:i/>
        </w:rPr>
        <w:t>financial statements</w:t>
      </w:r>
      <w:r w:rsidR="005F59FD">
        <w:rPr>
          <w:rFonts w:ascii="Verdana" w:hAnsi="Verdana"/>
        </w:rPr>
        <w:t xml:space="preserve">. </w:t>
      </w:r>
    </w:p>
    <w:sectPr w:rsidR="00F93255" w:rsidRPr="00E30DA7" w:rsidSect="00D6314C">
      <w:headerReference w:type="default" r:id="rId9"/>
      <w:footerReference w:type="default" r:id="rId10"/>
      <w:pgSz w:w="12240" w:h="15840"/>
      <w:pgMar w:top="1440" w:right="1440" w:bottom="81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EBCF0" w14:textId="77777777" w:rsidR="007327DC" w:rsidRDefault="007327DC">
      <w:pPr>
        <w:spacing w:after="0" w:line="240" w:lineRule="auto"/>
      </w:pPr>
      <w:r>
        <w:separator/>
      </w:r>
    </w:p>
  </w:endnote>
  <w:endnote w:type="continuationSeparator" w:id="0">
    <w:p w14:paraId="77A31040" w14:textId="77777777" w:rsidR="007327DC" w:rsidRDefault="0073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8EF4D" w14:textId="77777777" w:rsidR="00D6314C" w:rsidRDefault="00D6314C" w:rsidP="00D6314C">
    <w:pPr>
      <w:pStyle w:val="Footer"/>
    </w:pPr>
  </w:p>
  <w:p w14:paraId="40616977" w14:textId="79F13CDB" w:rsidR="00591098" w:rsidRDefault="001943EF" w:rsidP="00D6314C">
    <w:pPr>
      <w:pStyle w:val="Footer"/>
    </w:pPr>
    <w:r>
      <w:t xml:space="preserve">November </w:t>
    </w:r>
    <w:r w:rsidR="00D6314C">
      <w:t>2024</w:t>
    </w:r>
  </w:p>
  <w:p w14:paraId="7417C3E2" w14:textId="77777777" w:rsidR="001B394E" w:rsidRDefault="00732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C5A68" w14:textId="77777777" w:rsidR="007327DC" w:rsidRDefault="007327DC">
      <w:pPr>
        <w:spacing w:after="0" w:line="240" w:lineRule="auto"/>
      </w:pPr>
      <w:r>
        <w:separator/>
      </w:r>
    </w:p>
  </w:footnote>
  <w:footnote w:type="continuationSeparator" w:id="0">
    <w:p w14:paraId="55ABF771" w14:textId="77777777" w:rsidR="007327DC" w:rsidRDefault="0073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4E637" w14:textId="77777777" w:rsidR="007A36CA" w:rsidRPr="00745791" w:rsidRDefault="007A36CA" w:rsidP="007A36CA">
    <w:pPr>
      <w:spacing w:after="0"/>
      <w:jc w:val="center"/>
      <w:rPr>
        <w:rFonts w:ascii="Verdana" w:hAnsi="Verdana"/>
        <w:b/>
        <w:bCs/>
        <w:sz w:val="28"/>
        <w:szCs w:val="28"/>
      </w:rPr>
    </w:pPr>
    <w:r w:rsidRPr="00745791">
      <w:rPr>
        <w:rFonts w:ascii="Verdana" w:hAnsi="Verdana"/>
        <w:b/>
        <w:bCs/>
        <w:sz w:val="28"/>
        <w:szCs w:val="28"/>
      </w:rPr>
      <w:t xml:space="preserve">Instructions for Completing the </w:t>
    </w:r>
  </w:p>
  <w:p w14:paraId="1D80B2A2" w14:textId="4127952F" w:rsidR="007A36CA" w:rsidRPr="00745791" w:rsidRDefault="007A36CA" w:rsidP="007A36CA">
    <w:pPr>
      <w:spacing w:after="0"/>
      <w:jc w:val="center"/>
      <w:rPr>
        <w:rFonts w:ascii="Verdana" w:hAnsi="Verdana"/>
        <w:sz w:val="28"/>
        <w:szCs w:val="28"/>
      </w:rPr>
    </w:pPr>
    <w:r w:rsidRPr="00745791">
      <w:rPr>
        <w:rFonts w:ascii="Verdana" w:hAnsi="Verdana"/>
        <w:b/>
        <w:bCs/>
        <w:sz w:val="28"/>
        <w:szCs w:val="28"/>
      </w:rPr>
      <w:t>Schedule of Outstanding Judgments</w:t>
    </w:r>
    <w:r w:rsidR="00075C42">
      <w:rPr>
        <w:rFonts w:ascii="Verdana" w:hAnsi="Verdana"/>
        <w:b/>
        <w:bCs/>
        <w:sz w:val="28"/>
        <w:szCs w:val="28"/>
      </w:rPr>
      <w:t xml:space="preserve"> and Agreements</w:t>
    </w:r>
    <w:r w:rsidRPr="00745791">
      <w:rPr>
        <w:rFonts w:ascii="Verdana" w:hAnsi="Verdana"/>
        <w:b/>
        <w:bCs/>
        <w:sz w:val="28"/>
        <w:szCs w:val="28"/>
      </w:rPr>
      <w:t xml:space="preserve"> </w:t>
    </w:r>
  </w:p>
  <w:p w14:paraId="6D51C4FE" w14:textId="4D4528F3" w:rsidR="001D5A29" w:rsidRDefault="00732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DF6"/>
    <w:multiLevelType w:val="hybridMultilevel"/>
    <w:tmpl w:val="A5E02A3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9C713AF"/>
    <w:multiLevelType w:val="hybridMultilevel"/>
    <w:tmpl w:val="888C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E77ED"/>
    <w:multiLevelType w:val="multilevel"/>
    <w:tmpl w:val="39EA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96F20"/>
    <w:multiLevelType w:val="hybridMultilevel"/>
    <w:tmpl w:val="A8EC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63626"/>
    <w:multiLevelType w:val="hybridMultilevel"/>
    <w:tmpl w:val="7BFE59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EF"/>
    <w:rsid w:val="000411F1"/>
    <w:rsid w:val="00057BDE"/>
    <w:rsid w:val="00064E49"/>
    <w:rsid w:val="00075C42"/>
    <w:rsid w:val="000855DA"/>
    <w:rsid w:val="000D0270"/>
    <w:rsid w:val="000E08D2"/>
    <w:rsid w:val="000E0D18"/>
    <w:rsid w:val="00175C63"/>
    <w:rsid w:val="00177BCF"/>
    <w:rsid w:val="001943EF"/>
    <w:rsid w:val="001A73C8"/>
    <w:rsid w:val="001D5323"/>
    <w:rsid w:val="001E42EF"/>
    <w:rsid w:val="002007FE"/>
    <w:rsid w:val="00225969"/>
    <w:rsid w:val="002A38D8"/>
    <w:rsid w:val="002B14B0"/>
    <w:rsid w:val="002C1328"/>
    <w:rsid w:val="00347524"/>
    <w:rsid w:val="00412208"/>
    <w:rsid w:val="0041629B"/>
    <w:rsid w:val="00431B87"/>
    <w:rsid w:val="00437C1F"/>
    <w:rsid w:val="00467DBB"/>
    <w:rsid w:val="004F5DE8"/>
    <w:rsid w:val="00515034"/>
    <w:rsid w:val="005228AD"/>
    <w:rsid w:val="00541E32"/>
    <w:rsid w:val="0057542C"/>
    <w:rsid w:val="0058167C"/>
    <w:rsid w:val="005C49F0"/>
    <w:rsid w:val="005E0A68"/>
    <w:rsid w:val="005F59FD"/>
    <w:rsid w:val="006038DE"/>
    <w:rsid w:val="006B6825"/>
    <w:rsid w:val="006C245E"/>
    <w:rsid w:val="006C522E"/>
    <w:rsid w:val="006D0F15"/>
    <w:rsid w:val="006E7BF7"/>
    <w:rsid w:val="00705C85"/>
    <w:rsid w:val="007327DC"/>
    <w:rsid w:val="00745791"/>
    <w:rsid w:val="00776A44"/>
    <w:rsid w:val="007927EF"/>
    <w:rsid w:val="007A1DB9"/>
    <w:rsid w:val="007A36CA"/>
    <w:rsid w:val="007D5E97"/>
    <w:rsid w:val="007F7C7F"/>
    <w:rsid w:val="00847BC4"/>
    <w:rsid w:val="0086127D"/>
    <w:rsid w:val="008861A6"/>
    <w:rsid w:val="008F74C0"/>
    <w:rsid w:val="00951EAF"/>
    <w:rsid w:val="009610FC"/>
    <w:rsid w:val="0096195F"/>
    <w:rsid w:val="009B4DC9"/>
    <w:rsid w:val="009D05EF"/>
    <w:rsid w:val="009D349F"/>
    <w:rsid w:val="00A15486"/>
    <w:rsid w:val="00A2577D"/>
    <w:rsid w:val="00A3290C"/>
    <w:rsid w:val="00A6326F"/>
    <w:rsid w:val="00A85F25"/>
    <w:rsid w:val="00AE432D"/>
    <w:rsid w:val="00B95A44"/>
    <w:rsid w:val="00BD1E01"/>
    <w:rsid w:val="00C12E09"/>
    <w:rsid w:val="00C32934"/>
    <w:rsid w:val="00CA318B"/>
    <w:rsid w:val="00CB2A6E"/>
    <w:rsid w:val="00CF5DBB"/>
    <w:rsid w:val="00D32524"/>
    <w:rsid w:val="00D46361"/>
    <w:rsid w:val="00D6314C"/>
    <w:rsid w:val="00D92003"/>
    <w:rsid w:val="00D974A3"/>
    <w:rsid w:val="00DB1BD0"/>
    <w:rsid w:val="00DB23C8"/>
    <w:rsid w:val="00DE4D9D"/>
    <w:rsid w:val="00E21B29"/>
    <w:rsid w:val="00E30DA7"/>
    <w:rsid w:val="00EA39FF"/>
    <w:rsid w:val="00EA5F81"/>
    <w:rsid w:val="00EE0459"/>
    <w:rsid w:val="00F07F99"/>
    <w:rsid w:val="00F32484"/>
    <w:rsid w:val="00F32F3A"/>
    <w:rsid w:val="00F3307E"/>
    <w:rsid w:val="00F93255"/>
    <w:rsid w:val="00FA2B89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2CE83"/>
  <w15:chartTrackingRefBased/>
  <w15:docId w15:val="{3FE590EE-9086-4C3B-A78C-FC80A385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5EF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5E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D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5EF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9D05E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1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95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95F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195F"/>
    <w:pPr>
      <w:spacing w:after="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5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0D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elly@lla.l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.la.gov/Legis/ViewDocument.aspx?d=13830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Kelly</dc:creator>
  <cp:keywords/>
  <dc:description/>
  <cp:lastModifiedBy>Barry Kelly</cp:lastModifiedBy>
  <cp:revision>5</cp:revision>
  <cp:lastPrinted>2024-11-01T14:23:00Z</cp:lastPrinted>
  <dcterms:created xsi:type="dcterms:W3CDTF">2024-11-12T21:31:00Z</dcterms:created>
  <dcterms:modified xsi:type="dcterms:W3CDTF">2024-11-13T13:46:00Z</dcterms:modified>
</cp:coreProperties>
</file>