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6F064" w14:textId="55DA3BFD" w:rsidR="00CA0B1D" w:rsidRPr="005C5FA0" w:rsidRDefault="00C4007D" w:rsidP="00CA0B1D">
      <w:pPr>
        <w:spacing w:before="1"/>
        <w:ind w:right="48"/>
        <w:rPr>
          <w:rFonts w:ascii="Verdana" w:hAnsi="Verdana"/>
          <w:b/>
          <w:caps/>
          <w:color w:val="FFFFFF" w:themeColor="background1"/>
          <w:sz w:val="56"/>
          <w:szCs w:val="56"/>
        </w:rPr>
      </w:pPr>
      <w:r w:rsidRPr="005C5FA0">
        <w:rPr>
          <w:rFonts w:ascii="Verdana" w:hAnsi="Verdana"/>
          <w:b/>
          <w:caps/>
          <w:color w:val="FFFFFF" w:themeColor="background1"/>
          <w:sz w:val="56"/>
          <w:szCs w:val="56"/>
        </w:rPr>
        <w:t>Statewide Agreed-Upon Procedures</w:t>
      </w:r>
    </w:p>
    <w:p w14:paraId="14B566D0" w14:textId="3BDAF833" w:rsidR="00C4007D" w:rsidRPr="005C5FA0" w:rsidRDefault="00C4007D" w:rsidP="00CA0B1D">
      <w:pPr>
        <w:spacing w:before="1"/>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 xml:space="preserve">Fiscal Years </w:t>
      </w:r>
      <w:r w:rsidR="00BD1C86">
        <w:rPr>
          <w:rFonts w:ascii="Verdana" w:hAnsi="Verdana"/>
          <w:caps/>
          <w:color w:val="FFFFFF" w:themeColor="background1"/>
          <w:sz w:val="40"/>
          <w:szCs w:val="40"/>
        </w:rPr>
        <w:t>beginning</w:t>
      </w:r>
      <w:r w:rsidR="00741E91">
        <w:rPr>
          <w:rFonts w:ascii="Verdana" w:hAnsi="Verdana"/>
          <w:caps/>
          <w:color w:val="FFFFFF" w:themeColor="background1"/>
          <w:sz w:val="40"/>
          <w:szCs w:val="40"/>
        </w:rPr>
        <w:t xml:space="preserve"> on or after </w:t>
      </w:r>
      <w:r w:rsidR="00BD1C86">
        <w:rPr>
          <w:rFonts w:ascii="Verdana" w:hAnsi="Verdana"/>
          <w:caps/>
          <w:color w:val="FFFFFF" w:themeColor="background1"/>
          <w:sz w:val="40"/>
          <w:szCs w:val="40"/>
        </w:rPr>
        <w:t xml:space="preserve">january 1, </w:t>
      </w:r>
      <w:r w:rsidR="00F2115C">
        <w:rPr>
          <w:rFonts w:ascii="Verdana" w:hAnsi="Verdana"/>
          <w:caps/>
          <w:color w:val="FFFFFF" w:themeColor="background1"/>
          <w:sz w:val="40"/>
          <w:szCs w:val="40"/>
        </w:rPr>
        <w:t>2025</w:t>
      </w:r>
    </w:p>
    <w:p w14:paraId="23112B09" w14:textId="3E7E9127" w:rsidR="00CA0B1D" w:rsidRPr="005C5FA0" w:rsidRDefault="00E54D2B" w:rsidP="00CA0B1D">
      <w:pPr>
        <w:pStyle w:val="Cover-ServiceArea"/>
        <w:rPr>
          <w:rFonts w:ascii="Verdana" w:hAnsi="Verdana"/>
          <w:color w:val="FFFFFF" w:themeColor="background1"/>
        </w:rPr>
      </w:pPr>
      <w:r w:rsidRPr="005C5FA0">
        <w:rPr>
          <w:rFonts w:ascii="Verdana" w:hAnsi="Verdana"/>
          <w:color w:val="FFFFFF" w:themeColor="background1"/>
        </w:rPr>
        <w:t xml:space="preserve">Local Government </w:t>
      </w:r>
      <w:r w:rsidR="00CA0B1D" w:rsidRPr="005C5FA0">
        <w:rPr>
          <w:rFonts w:ascii="Verdana" w:hAnsi="Verdana"/>
          <w:color w:val="FFFFFF" w:themeColor="background1"/>
        </w:rPr>
        <w:t>SERVICES</w:t>
      </w:r>
    </w:p>
    <w:p w14:paraId="64ACB1BD" w14:textId="0FCD287B" w:rsidR="00CA0B1D" w:rsidRPr="005C5FA0" w:rsidRDefault="00CA0B1D" w:rsidP="00C4007D">
      <w:pPr>
        <w:tabs>
          <w:tab w:val="left" w:pos="2495"/>
        </w:tabs>
        <w:ind w:right="10"/>
        <w:rPr>
          <w:rFonts w:ascii="Verdana" w:hAnsi="Verdana"/>
          <w:color w:val="104160"/>
        </w:rPr>
      </w:pPr>
    </w:p>
    <w:p w14:paraId="75F86EA3" w14:textId="6F215F5B" w:rsidR="002733E5" w:rsidRPr="005C5FA0" w:rsidRDefault="002733E5" w:rsidP="00263767">
      <w:pPr>
        <w:jc w:val="both"/>
        <w:rPr>
          <w:rFonts w:ascii="Times New Roman" w:hAnsi="Times New Roman" w:cs="Times New Roman"/>
          <w:sz w:val="24"/>
          <w:szCs w:val="24"/>
        </w:rPr>
      </w:pPr>
    </w:p>
    <w:p w14:paraId="4C7629D7" w14:textId="77777777" w:rsidR="00221C71" w:rsidRPr="005C5FA0" w:rsidRDefault="00221C71">
      <w:pPr>
        <w:rPr>
          <w:rFonts w:ascii="Times New Roman" w:hAnsi="Times New Roman" w:cs="Times New Roman"/>
          <w:sz w:val="24"/>
          <w:szCs w:val="24"/>
        </w:rPr>
        <w:sectPr w:rsidR="00221C71" w:rsidRPr="005C5FA0" w:rsidSect="007D679A">
          <w:headerReference w:type="default" r:id="rId9"/>
          <w:footerReference w:type="first" r:id="rId10"/>
          <w:pgSz w:w="12240" w:h="15840"/>
          <w:pgMar w:top="1973" w:right="1440" w:bottom="1440" w:left="1440" w:header="1080" w:footer="720" w:gutter="0"/>
          <w:cols w:space="720"/>
          <w:docGrid w:linePitch="360"/>
        </w:sectPr>
      </w:pPr>
    </w:p>
    <w:p w14:paraId="23337A61" w14:textId="77777777" w:rsidR="00577B38" w:rsidRPr="005C5FA0" w:rsidRDefault="00577B38" w:rsidP="00577B38">
      <w:pPr>
        <w:pStyle w:val="SectionHeader"/>
        <w:rPr>
          <w:rFonts w:ascii="Verdana" w:hAnsi="Verdana"/>
        </w:rPr>
      </w:pPr>
      <w:bookmarkStart w:id="14" w:name="TOC"/>
      <w:bookmarkEnd w:id="14"/>
      <w:r w:rsidRPr="005C5FA0">
        <w:rPr>
          <w:rFonts w:ascii="Verdana" w:hAnsi="Verdana"/>
        </w:rPr>
        <w:lastRenderedPageBreak/>
        <w:t>TABLE OF CONTENTS</w:t>
      </w:r>
    </w:p>
    <w:p w14:paraId="08EAA293" w14:textId="77777777" w:rsidR="00577B38" w:rsidRPr="005C5FA0" w:rsidRDefault="00577B38" w:rsidP="00577B38">
      <w:pPr>
        <w:pBdr>
          <w:bottom w:val="single" w:sz="18" w:space="1" w:color="053A63"/>
        </w:pBdr>
        <w:jc w:val="center"/>
        <w:rPr>
          <w:rFonts w:ascii="Verdana" w:hAnsi="Verdana"/>
        </w:rPr>
      </w:pPr>
    </w:p>
    <w:p w14:paraId="611502E8" w14:textId="77777777" w:rsidR="00577B38" w:rsidRPr="005C5FA0" w:rsidRDefault="00577B38" w:rsidP="00577B38">
      <w:pPr>
        <w:tabs>
          <w:tab w:val="right" w:pos="9350"/>
        </w:tabs>
        <w:rPr>
          <w:rFonts w:ascii="Verdana" w:hAnsi="Verdana"/>
        </w:rPr>
      </w:pPr>
      <w:r w:rsidRPr="005C5FA0">
        <w:rPr>
          <w:rFonts w:ascii="Verdana" w:hAnsi="Verdana"/>
        </w:rPr>
        <w:tab/>
        <w:t>Page</w:t>
      </w:r>
    </w:p>
    <w:p w14:paraId="7E1D63E1" w14:textId="77777777" w:rsidR="00577B38" w:rsidRPr="005C5FA0" w:rsidRDefault="00577B38" w:rsidP="00577B38">
      <w:pPr>
        <w:tabs>
          <w:tab w:val="right" w:pos="9360"/>
        </w:tabs>
        <w:spacing w:after="0"/>
        <w:rPr>
          <w:rFonts w:ascii="Verdana" w:hAnsi="Verdana"/>
        </w:rPr>
      </w:pPr>
    </w:p>
    <w:p w14:paraId="488DBAA1" w14:textId="0DA54B9E" w:rsidR="00577B38" w:rsidRPr="005C5FA0" w:rsidRDefault="00697BF9" w:rsidP="00577B38">
      <w:pPr>
        <w:pStyle w:val="AcctTtl"/>
        <w:tabs>
          <w:tab w:val="clear" w:pos="7920"/>
          <w:tab w:val="clear" w:pos="9360"/>
          <w:tab w:val="right" w:leader="dot" w:pos="9350"/>
        </w:tabs>
        <w:rPr>
          <w:rFonts w:ascii="Verdana" w:hAnsi="Verdana"/>
          <w:sz w:val="22"/>
          <w:szCs w:val="22"/>
        </w:rPr>
      </w:pPr>
      <w:hyperlink w:anchor="INTRO" w:history="1">
        <w:r w:rsidR="00577B38" w:rsidRPr="005C5FA0">
          <w:rPr>
            <w:rStyle w:val="Hyperlink"/>
            <w:rFonts w:ascii="Verdana" w:hAnsi="Verdana"/>
            <w:sz w:val="22"/>
            <w:szCs w:val="22"/>
          </w:rPr>
          <w:t>In</w:t>
        </w:r>
        <w:r w:rsidR="00B829AC" w:rsidRPr="005C5FA0">
          <w:rPr>
            <w:rStyle w:val="Hyperlink"/>
            <w:rFonts w:ascii="Verdana" w:hAnsi="Verdana"/>
            <w:sz w:val="22"/>
            <w:szCs w:val="22"/>
          </w:rPr>
          <w:t>troduction</w:t>
        </w:r>
      </w:hyperlink>
      <w:r w:rsidR="00577B38" w:rsidRPr="005C5FA0">
        <w:rPr>
          <w:rFonts w:ascii="Verdana" w:hAnsi="Verdana"/>
          <w:sz w:val="22"/>
          <w:szCs w:val="22"/>
        </w:rPr>
        <w:tab/>
      </w:r>
      <w:r w:rsidR="00B829AC" w:rsidRPr="005C5FA0">
        <w:rPr>
          <w:rFonts w:ascii="Verdana" w:hAnsi="Verdana"/>
          <w:sz w:val="22"/>
          <w:szCs w:val="22"/>
        </w:rPr>
        <w:t>1</w:t>
      </w:r>
    </w:p>
    <w:bookmarkStart w:id="15" w:name="_Hlk212033899"/>
    <w:p w14:paraId="6A03D223" w14:textId="4570179C" w:rsidR="00E54D2B" w:rsidRPr="005C5FA0" w:rsidRDefault="004B2D7B" w:rsidP="00577B38">
      <w:pPr>
        <w:pStyle w:val="AcctTtl"/>
        <w:tabs>
          <w:tab w:val="clear" w:pos="7920"/>
          <w:tab w:val="clear" w:pos="9360"/>
          <w:tab w:val="right" w:leader="dot" w:pos="9350"/>
        </w:tabs>
        <w:rPr>
          <w:rFonts w:ascii="Verdana" w:hAnsi="Verdana"/>
          <w:sz w:val="22"/>
          <w:szCs w:val="22"/>
        </w:rPr>
      </w:pPr>
      <w:r>
        <w:fldChar w:fldCharType="begin"/>
      </w:r>
      <w:r>
        <w:instrText xml:space="preserve"> HYPERLINK \l "NEW" </w:instrText>
      </w:r>
      <w:r>
        <w:fldChar w:fldCharType="separate"/>
      </w:r>
      <w:r w:rsidR="00E54D2B" w:rsidRPr="005C5FA0">
        <w:rPr>
          <w:rStyle w:val="Hyperlink"/>
          <w:rFonts w:ascii="Verdana" w:hAnsi="Verdana"/>
          <w:sz w:val="22"/>
          <w:szCs w:val="22"/>
        </w:rPr>
        <w:t>What’s New?</w:t>
      </w:r>
      <w:r>
        <w:rPr>
          <w:rStyle w:val="Hyperlink"/>
          <w:rFonts w:ascii="Verdana" w:hAnsi="Verdana"/>
          <w:sz w:val="22"/>
          <w:szCs w:val="22"/>
        </w:rPr>
        <w:fldChar w:fldCharType="end"/>
      </w:r>
      <w:r w:rsidR="00E54D2B" w:rsidRPr="005C5FA0">
        <w:rPr>
          <w:rFonts w:ascii="Verdana" w:hAnsi="Verdana"/>
          <w:sz w:val="22"/>
          <w:szCs w:val="22"/>
        </w:rPr>
        <w:tab/>
        <w:t>1</w:t>
      </w:r>
    </w:p>
    <w:bookmarkEnd w:id="15"/>
    <w:p w14:paraId="6D92E3EB" w14:textId="588E2C8C" w:rsidR="004A1328" w:rsidRPr="005C5FA0" w:rsidRDefault="004A1328" w:rsidP="004A1328">
      <w:pPr>
        <w:pStyle w:val="AcctTtl"/>
        <w:tabs>
          <w:tab w:val="clear" w:pos="7920"/>
          <w:tab w:val="clear" w:pos="9360"/>
          <w:tab w:val="right" w:leader="dot" w:pos="9350"/>
        </w:tabs>
        <w:rPr>
          <w:rFonts w:ascii="Verdana" w:hAnsi="Verdana"/>
          <w:sz w:val="22"/>
          <w:szCs w:val="22"/>
        </w:rPr>
      </w:pPr>
      <w:r>
        <w:rPr>
          <w:rStyle w:val="Hyperlink"/>
          <w:rFonts w:ascii="Verdana" w:hAnsi="Verdana"/>
          <w:sz w:val="22"/>
          <w:szCs w:val="22"/>
        </w:rPr>
        <w:fldChar w:fldCharType="begin"/>
      </w:r>
      <w:r>
        <w:rPr>
          <w:rStyle w:val="Hyperlink"/>
          <w:rFonts w:ascii="Verdana" w:hAnsi="Verdana"/>
          <w:sz w:val="22"/>
          <w:szCs w:val="22"/>
        </w:rPr>
        <w:instrText xml:space="preserve"> HYPERLINK  \l "TwoYearTestingCycle" </w:instrText>
      </w:r>
      <w:r>
        <w:rPr>
          <w:rStyle w:val="Hyperlink"/>
          <w:rFonts w:ascii="Verdana" w:hAnsi="Verdana"/>
          <w:sz w:val="22"/>
          <w:szCs w:val="22"/>
        </w:rPr>
        <w:fldChar w:fldCharType="separate"/>
      </w:r>
      <w:r w:rsidRPr="004A1328">
        <w:rPr>
          <w:rStyle w:val="Hyperlink"/>
          <w:rFonts w:ascii="Verdana" w:hAnsi="Verdana"/>
          <w:sz w:val="22"/>
          <w:szCs w:val="22"/>
        </w:rPr>
        <w:t>Two-Year Testing Cycle</w:t>
      </w:r>
      <w:r>
        <w:rPr>
          <w:rStyle w:val="Hyperlink"/>
          <w:rFonts w:ascii="Verdana" w:hAnsi="Verdana"/>
          <w:sz w:val="22"/>
          <w:szCs w:val="22"/>
        </w:rPr>
        <w:fldChar w:fldCharType="end"/>
      </w:r>
      <w:r w:rsidRPr="005C5FA0">
        <w:rPr>
          <w:rFonts w:ascii="Verdana" w:hAnsi="Verdana"/>
          <w:sz w:val="22"/>
          <w:szCs w:val="22"/>
        </w:rPr>
        <w:tab/>
      </w:r>
      <w:r>
        <w:rPr>
          <w:rFonts w:ascii="Verdana" w:hAnsi="Verdana"/>
          <w:sz w:val="22"/>
          <w:szCs w:val="22"/>
        </w:rPr>
        <w:t>2</w:t>
      </w:r>
    </w:p>
    <w:p w14:paraId="448E2125" w14:textId="303F7B1A"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APPLICABLE" w:history="1">
        <w:r w:rsidR="00E54D2B" w:rsidRPr="005C5FA0">
          <w:rPr>
            <w:rStyle w:val="Hyperlink"/>
            <w:rFonts w:ascii="Verdana" w:hAnsi="Verdana"/>
            <w:sz w:val="22"/>
            <w:szCs w:val="22"/>
          </w:rPr>
          <w:t>Applicable Audit</w:t>
        </w:r>
        <w:r w:rsidR="00CA118F" w:rsidRPr="005C5FA0">
          <w:rPr>
            <w:rStyle w:val="Hyperlink"/>
            <w:rFonts w:ascii="Verdana" w:hAnsi="Verdana"/>
            <w:sz w:val="22"/>
            <w:szCs w:val="22"/>
          </w:rPr>
          <w:t>in</w:t>
        </w:r>
        <w:r w:rsidR="002F44B1" w:rsidRPr="005C5FA0">
          <w:rPr>
            <w:rStyle w:val="Hyperlink"/>
            <w:rFonts w:ascii="Verdana" w:hAnsi="Verdana"/>
            <w:sz w:val="22"/>
            <w:szCs w:val="22"/>
          </w:rPr>
          <w:t>g</w:t>
        </w:r>
        <w:r w:rsidR="00E54D2B" w:rsidRPr="005C5FA0">
          <w:rPr>
            <w:rStyle w:val="Hyperlink"/>
            <w:rFonts w:ascii="Verdana" w:hAnsi="Verdana"/>
            <w:sz w:val="22"/>
            <w:szCs w:val="22"/>
          </w:rPr>
          <w:t xml:space="preserve"> </w:t>
        </w:r>
        <w:r w:rsidR="002F44B1" w:rsidRPr="005C5FA0">
          <w:rPr>
            <w:rStyle w:val="Hyperlink"/>
            <w:rFonts w:ascii="Verdana" w:hAnsi="Verdana"/>
            <w:sz w:val="22"/>
            <w:szCs w:val="22"/>
          </w:rPr>
          <w:t>Standards</w:t>
        </w:r>
      </w:hyperlink>
      <w:r w:rsidR="00E54D2B" w:rsidRPr="005C5FA0">
        <w:rPr>
          <w:rFonts w:ascii="Verdana" w:hAnsi="Verdana"/>
          <w:sz w:val="22"/>
          <w:szCs w:val="22"/>
        </w:rPr>
        <w:tab/>
      </w:r>
      <w:r w:rsidR="0049582F">
        <w:rPr>
          <w:rFonts w:ascii="Verdana" w:hAnsi="Verdana"/>
          <w:sz w:val="22"/>
          <w:szCs w:val="22"/>
        </w:rPr>
        <w:t>4</w:t>
      </w:r>
    </w:p>
    <w:p w14:paraId="5EF3B6AF" w14:textId="1463C8E7"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REPORTING_FINDINGS" w:history="1">
        <w:r w:rsidR="00E54D2B" w:rsidRPr="005C5FA0">
          <w:rPr>
            <w:rStyle w:val="Hyperlink"/>
            <w:rFonts w:ascii="Verdana" w:hAnsi="Verdana"/>
            <w:sz w:val="22"/>
            <w:szCs w:val="22"/>
          </w:rPr>
          <w:t>Reporting AUP F</w:t>
        </w:r>
        <w:r w:rsidR="00E54D2B" w:rsidRPr="005C5FA0">
          <w:rPr>
            <w:rStyle w:val="Hyperlink"/>
            <w:rFonts w:ascii="Verdana" w:hAnsi="Verdana"/>
            <w:sz w:val="22"/>
            <w:szCs w:val="22"/>
          </w:rPr>
          <w:t>i</w:t>
        </w:r>
        <w:r w:rsidR="00E54D2B" w:rsidRPr="005C5FA0">
          <w:rPr>
            <w:rStyle w:val="Hyperlink"/>
            <w:rFonts w:ascii="Verdana" w:hAnsi="Verdana"/>
            <w:sz w:val="22"/>
            <w:szCs w:val="22"/>
          </w:rPr>
          <w:t>ndings</w:t>
        </w:r>
      </w:hyperlink>
      <w:r w:rsidR="00E54D2B" w:rsidRPr="005C5FA0">
        <w:rPr>
          <w:rFonts w:ascii="Verdana" w:hAnsi="Verdana"/>
          <w:sz w:val="22"/>
          <w:szCs w:val="22"/>
        </w:rPr>
        <w:tab/>
      </w:r>
      <w:r w:rsidR="0049582F">
        <w:rPr>
          <w:rFonts w:ascii="Verdana" w:hAnsi="Verdana"/>
          <w:sz w:val="22"/>
          <w:szCs w:val="22"/>
        </w:rPr>
        <w:t>4</w:t>
      </w:r>
    </w:p>
    <w:p w14:paraId="2FA4FAE8" w14:textId="66E7E2A3"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SAUP_EXCEPTIONS_FINDINGS" w:history="1">
        <w:r w:rsidR="00E54D2B" w:rsidRPr="005C5FA0">
          <w:rPr>
            <w:rStyle w:val="Hyperlink"/>
            <w:rFonts w:ascii="Verdana" w:hAnsi="Verdana"/>
            <w:sz w:val="22"/>
            <w:szCs w:val="22"/>
          </w:rPr>
          <w:t>Statewide A</w:t>
        </w:r>
        <w:r w:rsidR="002F44B1" w:rsidRPr="005C5FA0">
          <w:rPr>
            <w:rStyle w:val="Hyperlink"/>
            <w:rFonts w:ascii="Verdana" w:hAnsi="Verdana"/>
            <w:sz w:val="22"/>
            <w:szCs w:val="22"/>
          </w:rPr>
          <w:t>UP Exceptions</w:t>
        </w:r>
        <w:r w:rsidR="00E54D2B" w:rsidRPr="005C5FA0">
          <w:rPr>
            <w:rStyle w:val="Hyperlink"/>
            <w:rFonts w:ascii="Verdana" w:hAnsi="Verdana"/>
            <w:sz w:val="22"/>
            <w:szCs w:val="22"/>
          </w:rPr>
          <w:t xml:space="preserve"> and the Schedule of Audit Findings</w:t>
        </w:r>
      </w:hyperlink>
      <w:r w:rsidR="00E54D2B" w:rsidRPr="005C5FA0">
        <w:rPr>
          <w:rFonts w:ascii="Verdana" w:hAnsi="Verdana"/>
          <w:sz w:val="22"/>
          <w:szCs w:val="22"/>
        </w:rPr>
        <w:tab/>
      </w:r>
      <w:r w:rsidR="0049582F">
        <w:rPr>
          <w:rFonts w:ascii="Verdana" w:hAnsi="Verdana"/>
          <w:sz w:val="22"/>
          <w:szCs w:val="22"/>
        </w:rPr>
        <w:t>5</w:t>
      </w:r>
    </w:p>
    <w:p w14:paraId="0BE1B54D" w14:textId="1E5E4D1E"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KNOWLEDGE_OUTSIDE_PROCEDURES" w:history="1">
        <w:r w:rsidR="00E54D2B" w:rsidRPr="005C5FA0">
          <w:rPr>
            <w:rStyle w:val="Hyperlink"/>
            <w:rFonts w:ascii="Verdana" w:hAnsi="Verdana"/>
            <w:sz w:val="22"/>
            <w:szCs w:val="22"/>
          </w:rPr>
          <w:t xml:space="preserve">Knowledge of </w:t>
        </w:r>
        <w:r w:rsidR="002F44B1" w:rsidRPr="005C5FA0">
          <w:rPr>
            <w:rStyle w:val="Hyperlink"/>
            <w:rFonts w:ascii="Verdana" w:hAnsi="Verdana"/>
            <w:sz w:val="22"/>
            <w:szCs w:val="22"/>
          </w:rPr>
          <w:t>Matters</w:t>
        </w:r>
        <w:r w:rsidR="00E54D2B" w:rsidRPr="005C5FA0">
          <w:rPr>
            <w:rStyle w:val="Hyperlink"/>
            <w:rFonts w:ascii="Verdana" w:hAnsi="Verdana"/>
            <w:sz w:val="22"/>
            <w:szCs w:val="22"/>
          </w:rPr>
          <w:t xml:space="preserve"> Outside Agreed-Upon Procedures</w:t>
        </w:r>
      </w:hyperlink>
      <w:r w:rsidR="00E54D2B" w:rsidRPr="005C5FA0">
        <w:rPr>
          <w:rFonts w:ascii="Verdana" w:hAnsi="Verdana"/>
          <w:sz w:val="22"/>
          <w:szCs w:val="22"/>
        </w:rPr>
        <w:tab/>
      </w:r>
      <w:r w:rsidR="0049582F">
        <w:rPr>
          <w:rFonts w:ascii="Verdana" w:hAnsi="Verdana"/>
          <w:sz w:val="22"/>
          <w:szCs w:val="22"/>
        </w:rPr>
        <w:t>5</w:t>
      </w:r>
    </w:p>
    <w:p w14:paraId="78E155D5" w14:textId="6C9A9AA4"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LOCAL_QUASI_APPLICABILITY" w:history="1">
        <w:r w:rsidR="00E54D2B" w:rsidRPr="005C5FA0">
          <w:rPr>
            <w:rStyle w:val="Hyperlink"/>
            <w:rFonts w:ascii="Verdana" w:hAnsi="Verdana"/>
            <w:sz w:val="22"/>
            <w:szCs w:val="22"/>
          </w:rPr>
          <w:t>Applicability of AUPs – Local Governments and Quasi-Public Entities</w:t>
        </w:r>
      </w:hyperlink>
      <w:r w:rsidR="00E54D2B" w:rsidRPr="005C5FA0">
        <w:rPr>
          <w:rFonts w:ascii="Verdana" w:hAnsi="Verdana"/>
          <w:sz w:val="22"/>
          <w:szCs w:val="22"/>
        </w:rPr>
        <w:tab/>
      </w:r>
      <w:r w:rsidR="0049582F">
        <w:rPr>
          <w:rFonts w:ascii="Verdana" w:hAnsi="Verdana"/>
          <w:sz w:val="22"/>
          <w:szCs w:val="22"/>
        </w:rPr>
        <w:t>6</w:t>
      </w:r>
    </w:p>
    <w:p w14:paraId="103A59DA" w14:textId="2100D3F9"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APPLICABILITY_NOT_FOR_PROFIT" w:history="1">
        <w:r w:rsidR="00E54D2B" w:rsidRPr="005C5FA0">
          <w:rPr>
            <w:rStyle w:val="Hyperlink"/>
            <w:rFonts w:ascii="Verdana" w:hAnsi="Verdana"/>
            <w:sz w:val="22"/>
            <w:szCs w:val="22"/>
          </w:rPr>
          <w:t>Applicability of AUPs – Not-For-Profit Enti</w:t>
        </w:r>
        <w:r w:rsidR="00E54D2B" w:rsidRPr="005C5FA0">
          <w:rPr>
            <w:rStyle w:val="Hyperlink"/>
            <w:rFonts w:ascii="Verdana" w:hAnsi="Verdana"/>
            <w:sz w:val="22"/>
            <w:szCs w:val="22"/>
          </w:rPr>
          <w:t>t</w:t>
        </w:r>
        <w:r w:rsidR="00E54D2B" w:rsidRPr="005C5FA0">
          <w:rPr>
            <w:rStyle w:val="Hyperlink"/>
            <w:rFonts w:ascii="Verdana" w:hAnsi="Verdana"/>
            <w:sz w:val="22"/>
            <w:szCs w:val="22"/>
          </w:rPr>
          <w:t>ies</w:t>
        </w:r>
      </w:hyperlink>
      <w:r w:rsidR="00E54D2B" w:rsidRPr="005C5FA0">
        <w:rPr>
          <w:rFonts w:ascii="Verdana" w:hAnsi="Verdana"/>
          <w:sz w:val="22"/>
          <w:szCs w:val="22"/>
        </w:rPr>
        <w:tab/>
      </w:r>
      <w:r w:rsidR="005E4882">
        <w:rPr>
          <w:rFonts w:ascii="Verdana" w:hAnsi="Verdana"/>
          <w:sz w:val="22"/>
          <w:szCs w:val="22"/>
        </w:rPr>
        <w:t>6</w:t>
      </w:r>
    </w:p>
    <w:p w14:paraId="53094070" w14:textId="488DD10B" w:rsidR="00664002" w:rsidRPr="003D3A3E" w:rsidRDefault="00697BF9" w:rsidP="00577B38">
      <w:pPr>
        <w:pStyle w:val="AcctTtl"/>
        <w:tabs>
          <w:tab w:val="clear" w:pos="7920"/>
          <w:tab w:val="clear" w:pos="9360"/>
          <w:tab w:val="right" w:leader="dot" w:pos="9350"/>
        </w:tabs>
        <w:rPr>
          <w:rFonts w:ascii="Verdana" w:hAnsi="Verdana"/>
          <w:sz w:val="22"/>
          <w:szCs w:val="22"/>
        </w:rPr>
      </w:pPr>
      <w:hyperlink w:anchor="APPLICABILITY_MULTI_STATE" w:history="1">
        <w:r w:rsidR="00664002" w:rsidRPr="003D3A3E">
          <w:rPr>
            <w:rStyle w:val="Hyperlink"/>
            <w:rFonts w:ascii="Verdana" w:hAnsi="Verdana"/>
            <w:sz w:val="22"/>
            <w:szCs w:val="22"/>
          </w:rPr>
          <w:t>Applicability of AUPs – Multi-State Entities</w:t>
        </w:r>
      </w:hyperlink>
      <w:r w:rsidR="00664002" w:rsidRPr="00C93B16">
        <w:rPr>
          <w:rFonts w:ascii="Verdana" w:hAnsi="Verdana"/>
          <w:sz w:val="22"/>
          <w:szCs w:val="22"/>
        </w:rPr>
        <w:tab/>
      </w:r>
      <w:r w:rsidR="00496B63">
        <w:rPr>
          <w:rFonts w:ascii="Verdana" w:hAnsi="Verdana"/>
          <w:sz w:val="22"/>
          <w:szCs w:val="22"/>
        </w:rPr>
        <w:t>7</w:t>
      </w:r>
    </w:p>
    <w:p w14:paraId="18B621A0" w14:textId="2E3C3313" w:rsidR="00C7376C" w:rsidRPr="0038477F" w:rsidRDefault="00697BF9" w:rsidP="00577B38">
      <w:pPr>
        <w:pStyle w:val="AcctTtl"/>
        <w:tabs>
          <w:tab w:val="clear" w:pos="7920"/>
          <w:tab w:val="clear" w:pos="9360"/>
          <w:tab w:val="right" w:leader="dot" w:pos="9350"/>
        </w:tabs>
      </w:pPr>
      <w:hyperlink w:anchor="APPLICABILITY_COMPONENT_UNITS" w:history="1">
        <w:r w:rsidR="0038477F" w:rsidRPr="0038477F">
          <w:rPr>
            <w:rStyle w:val="Hyperlink"/>
            <w:rFonts w:ascii="Verdana" w:hAnsi="Verdana"/>
            <w:sz w:val="22"/>
            <w:szCs w:val="22"/>
          </w:rPr>
          <w:t>Applicability of AUPs – Component Units</w:t>
        </w:r>
      </w:hyperlink>
      <w:r w:rsidR="00C7376C" w:rsidRPr="00C93B16">
        <w:rPr>
          <w:rFonts w:ascii="Verdana" w:hAnsi="Verdana"/>
          <w:sz w:val="22"/>
          <w:szCs w:val="22"/>
        </w:rPr>
        <w:tab/>
      </w:r>
      <w:r w:rsidR="00496B63">
        <w:rPr>
          <w:rFonts w:ascii="Verdana" w:hAnsi="Verdana"/>
          <w:sz w:val="22"/>
          <w:szCs w:val="22"/>
        </w:rPr>
        <w:t>7</w:t>
      </w:r>
    </w:p>
    <w:p w14:paraId="68148FD5" w14:textId="10E30A38"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EXEMPTION_SINGLE_AUDIT" w:history="1">
        <w:r w:rsidR="00E54D2B" w:rsidRPr="005C5FA0">
          <w:rPr>
            <w:rStyle w:val="Hyperlink"/>
            <w:rFonts w:ascii="Verdana" w:hAnsi="Verdana"/>
            <w:sz w:val="22"/>
            <w:szCs w:val="22"/>
          </w:rPr>
          <w:t>AUP Exemption – Single Audit</w:t>
        </w:r>
      </w:hyperlink>
      <w:r w:rsidR="00E54D2B" w:rsidRPr="005C5FA0">
        <w:rPr>
          <w:rFonts w:ascii="Verdana" w:hAnsi="Verdana"/>
          <w:sz w:val="22"/>
          <w:szCs w:val="22"/>
        </w:rPr>
        <w:tab/>
      </w:r>
      <w:r w:rsidR="005E4882">
        <w:rPr>
          <w:rFonts w:ascii="Verdana" w:hAnsi="Verdana"/>
          <w:sz w:val="22"/>
          <w:szCs w:val="22"/>
        </w:rPr>
        <w:t>8</w:t>
      </w:r>
    </w:p>
    <w:p w14:paraId="6BEF4397" w14:textId="0C45ECF6"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EXEMPTION_STUDENT_ACTIVITY_FUNDS" w:history="1">
        <w:r w:rsidR="00E54D2B" w:rsidRPr="005C5FA0">
          <w:rPr>
            <w:rStyle w:val="Hyperlink"/>
            <w:rFonts w:ascii="Verdana" w:hAnsi="Verdana"/>
            <w:sz w:val="22"/>
            <w:szCs w:val="22"/>
          </w:rPr>
          <w:t xml:space="preserve">AUP Exemption – School </w:t>
        </w:r>
        <w:r w:rsidR="00C7376C">
          <w:rPr>
            <w:rStyle w:val="Hyperlink"/>
            <w:rFonts w:ascii="Verdana" w:hAnsi="Verdana"/>
            <w:sz w:val="22"/>
            <w:szCs w:val="22"/>
          </w:rPr>
          <w:t xml:space="preserve">Activity </w:t>
        </w:r>
        <w:r w:rsidR="00E54D2B" w:rsidRPr="005C5FA0">
          <w:rPr>
            <w:rStyle w:val="Hyperlink"/>
            <w:rFonts w:ascii="Verdana" w:hAnsi="Verdana"/>
            <w:sz w:val="22"/>
            <w:szCs w:val="22"/>
          </w:rPr>
          <w:t>or Student Activity Funds</w:t>
        </w:r>
      </w:hyperlink>
      <w:r w:rsidR="00E54D2B" w:rsidRPr="005C5FA0">
        <w:rPr>
          <w:rFonts w:ascii="Verdana" w:hAnsi="Verdana"/>
          <w:sz w:val="22"/>
          <w:szCs w:val="22"/>
        </w:rPr>
        <w:tab/>
      </w:r>
      <w:r w:rsidR="00496B63">
        <w:rPr>
          <w:rFonts w:ascii="Verdana" w:hAnsi="Verdana"/>
          <w:sz w:val="22"/>
          <w:szCs w:val="22"/>
        </w:rPr>
        <w:t>8</w:t>
      </w:r>
    </w:p>
    <w:p w14:paraId="4A63B7C7" w14:textId="310F2558" w:rsidR="00956F9C" w:rsidRPr="005C5FA0" w:rsidRDefault="00697BF9" w:rsidP="00577B38">
      <w:pPr>
        <w:pStyle w:val="AcctTtl"/>
        <w:tabs>
          <w:tab w:val="clear" w:pos="7920"/>
          <w:tab w:val="clear" w:pos="9360"/>
          <w:tab w:val="right" w:leader="dot" w:pos="9350"/>
        </w:tabs>
        <w:rPr>
          <w:rFonts w:ascii="Verdana" w:hAnsi="Verdana"/>
          <w:sz w:val="22"/>
          <w:szCs w:val="22"/>
        </w:rPr>
      </w:pPr>
      <w:hyperlink w:anchor="EXEMPTION_CSLFR" w:history="1">
        <w:r w:rsidR="00956F9C" w:rsidRPr="005C5FA0">
          <w:rPr>
            <w:rStyle w:val="Hyperlink"/>
            <w:rFonts w:ascii="Verdana" w:hAnsi="Verdana"/>
            <w:sz w:val="22"/>
            <w:szCs w:val="22"/>
          </w:rPr>
          <w:t>AUP Exemption - Coronavirus State and Local Fiscal Recovery Funds</w:t>
        </w:r>
      </w:hyperlink>
      <w:r w:rsidR="00956F9C" w:rsidRPr="005C5FA0">
        <w:rPr>
          <w:rFonts w:ascii="Verdana" w:hAnsi="Verdana"/>
          <w:sz w:val="22"/>
          <w:szCs w:val="22"/>
        </w:rPr>
        <w:tab/>
      </w:r>
      <w:r w:rsidR="00496B63">
        <w:rPr>
          <w:rFonts w:ascii="Verdana" w:hAnsi="Verdana"/>
          <w:sz w:val="22"/>
          <w:szCs w:val="22"/>
        </w:rPr>
        <w:t>8</w:t>
      </w:r>
    </w:p>
    <w:p w14:paraId="747037E3" w14:textId="2EF84DDF"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EXEMPTION_OTHER" w:history="1">
        <w:r w:rsidR="00E54D2B" w:rsidRPr="005C5FA0">
          <w:rPr>
            <w:rStyle w:val="Hyperlink"/>
            <w:rFonts w:ascii="Verdana" w:hAnsi="Verdana"/>
            <w:sz w:val="22"/>
            <w:szCs w:val="22"/>
          </w:rPr>
          <w:t>Other Entities Exempt from the AUPs</w:t>
        </w:r>
      </w:hyperlink>
      <w:r w:rsidR="00E54D2B" w:rsidRPr="005C5FA0">
        <w:rPr>
          <w:rFonts w:ascii="Verdana" w:hAnsi="Verdana"/>
          <w:sz w:val="22"/>
          <w:szCs w:val="22"/>
        </w:rPr>
        <w:tab/>
      </w:r>
      <w:r w:rsidR="00496B63">
        <w:rPr>
          <w:rFonts w:ascii="Verdana" w:hAnsi="Verdana"/>
          <w:sz w:val="22"/>
          <w:szCs w:val="22"/>
        </w:rPr>
        <w:t>9</w:t>
      </w:r>
    </w:p>
    <w:p w14:paraId="7AB75949" w14:textId="3870C150" w:rsidR="00E54D2B" w:rsidRPr="005C5FA0" w:rsidRDefault="00697BF9" w:rsidP="00577B38">
      <w:pPr>
        <w:pStyle w:val="AcctTtl"/>
        <w:tabs>
          <w:tab w:val="clear" w:pos="7920"/>
          <w:tab w:val="clear" w:pos="9360"/>
          <w:tab w:val="right" w:leader="dot" w:pos="9350"/>
        </w:tabs>
        <w:rPr>
          <w:rFonts w:ascii="Verdana" w:hAnsi="Verdana"/>
          <w:sz w:val="22"/>
          <w:szCs w:val="22"/>
        </w:rPr>
      </w:pPr>
      <w:hyperlink w:anchor="SAUP_VS_OTHER_AUP" w:history="1">
        <w:r w:rsidR="00E54D2B" w:rsidRPr="005C5FA0">
          <w:rPr>
            <w:rStyle w:val="Hyperlink"/>
            <w:rFonts w:ascii="Verdana" w:hAnsi="Verdana"/>
            <w:sz w:val="22"/>
            <w:szCs w:val="22"/>
          </w:rPr>
          <w:t>Statewide AUPs Compared</w:t>
        </w:r>
        <w:r w:rsidR="00F674E9" w:rsidRPr="005C5FA0">
          <w:rPr>
            <w:rStyle w:val="Hyperlink"/>
            <w:rFonts w:ascii="Verdana" w:hAnsi="Verdana"/>
            <w:sz w:val="22"/>
            <w:szCs w:val="22"/>
          </w:rPr>
          <w:t xml:space="preserve"> w</w:t>
        </w:r>
        <w:r w:rsidR="00E54D2B" w:rsidRPr="005C5FA0">
          <w:rPr>
            <w:rStyle w:val="Hyperlink"/>
            <w:rFonts w:ascii="Verdana" w:hAnsi="Verdana"/>
            <w:sz w:val="22"/>
            <w:szCs w:val="22"/>
          </w:rPr>
          <w:t>ith Other Required AUP Types</w:t>
        </w:r>
      </w:hyperlink>
      <w:r w:rsidR="00E54D2B" w:rsidRPr="005C5FA0">
        <w:rPr>
          <w:rFonts w:ascii="Verdana" w:hAnsi="Verdana"/>
          <w:sz w:val="22"/>
          <w:szCs w:val="22"/>
        </w:rPr>
        <w:tab/>
      </w:r>
      <w:r w:rsidR="00496B63">
        <w:rPr>
          <w:rFonts w:ascii="Verdana" w:hAnsi="Verdana"/>
          <w:sz w:val="22"/>
          <w:szCs w:val="22"/>
        </w:rPr>
        <w:t>9</w:t>
      </w:r>
    </w:p>
    <w:p w14:paraId="2D27D9CD" w14:textId="6826FE81" w:rsidR="00F674E9" w:rsidRPr="005C5FA0" w:rsidRDefault="00697BF9" w:rsidP="00577B38">
      <w:pPr>
        <w:pStyle w:val="AcctTtl"/>
        <w:tabs>
          <w:tab w:val="clear" w:pos="7920"/>
          <w:tab w:val="clear" w:pos="9360"/>
          <w:tab w:val="right" w:leader="dot" w:pos="9350"/>
        </w:tabs>
        <w:rPr>
          <w:rFonts w:ascii="Verdana" w:hAnsi="Verdana"/>
          <w:sz w:val="22"/>
          <w:szCs w:val="22"/>
        </w:rPr>
      </w:pPr>
      <w:hyperlink w:anchor="OPTIONS_ALTERNATIVES" w:history="1">
        <w:r w:rsidR="00F674E9" w:rsidRPr="005C5FA0">
          <w:rPr>
            <w:rStyle w:val="Hyperlink"/>
            <w:rFonts w:ascii="Verdana" w:hAnsi="Verdana"/>
            <w:sz w:val="22"/>
            <w:szCs w:val="22"/>
          </w:rPr>
          <w:t>Options and Alternatives</w:t>
        </w:r>
      </w:hyperlink>
      <w:r w:rsidR="00F674E9" w:rsidRPr="005C5FA0">
        <w:rPr>
          <w:rFonts w:ascii="Verdana" w:hAnsi="Verdana"/>
          <w:sz w:val="22"/>
          <w:szCs w:val="22"/>
        </w:rPr>
        <w:tab/>
      </w:r>
      <w:r w:rsidR="005E4882">
        <w:rPr>
          <w:rFonts w:ascii="Verdana" w:hAnsi="Verdana"/>
          <w:sz w:val="22"/>
          <w:szCs w:val="22"/>
        </w:rPr>
        <w:t>9</w:t>
      </w:r>
    </w:p>
    <w:bookmarkStart w:id="16" w:name="_Hlk212032975"/>
    <w:p w14:paraId="3811080F" w14:textId="661A5AC6" w:rsidR="00F674E9" w:rsidRDefault="004B2D7B" w:rsidP="00577B38">
      <w:pPr>
        <w:pStyle w:val="AcctTtl"/>
        <w:tabs>
          <w:tab w:val="clear" w:pos="7920"/>
          <w:tab w:val="clear" w:pos="9360"/>
          <w:tab w:val="right" w:leader="dot" w:pos="9350"/>
        </w:tabs>
        <w:rPr>
          <w:rFonts w:ascii="Verdana" w:hAnsi="Verdana"/>
          <w:sz w:val="22"/>
          <w:szCs w:val="22"/>
        </w:rPr>
      </w:pPr>
      <w:r>
        <w:fldChar w:fldCharType="begin"/>
      </w:r>
      <w:r>
        <w:instrText xml:space="preserve"> HYPERLINK \l "SPECIAL_CONSIDERATION_SCHOOL_BOARD" </w:instrText>
      </w:r>
      <w:r>
        <w:fldChar w:fldCharType="separate"/>
      </w:r>
      <w:r w:rsidR="00F674E9" w:rsidRPr="005C5FA0">
        <w:rPr>
          <w:rStyle w:val="Hyperlink"/>
          <w:rFonts w:ascii="Verdana" w:hAnsi="Verdana"/>
          <w:sz w:val="22"/>
          <w:szCs w:val="22"/>
        </w:rPr>
        <w:t>Special Consideration for School Boards</w:t>
      </w:r>
      <w:r>
        <w:rPr>
          <w:rStyle w:val="Hyperlink"/>
          <w:rFonts w:ascii="Verdana" w:hAnsi="Verdana"/>
          <w:sz w:val="22"/>
          <w:szCs w:val="22"/>
        </w:rPr>
        <w:fldChar w:fldCharType="end"/>
      </w:r>
      <w:r w:rsidR="00F674E9" w:rsidRPr="005C5FA0">
        <w:rPr>
          <w:rFonts w:ascii="Verdana" w:hAnsi="Verdana"/>
          <w:sz w:val="22"/>
          <w:szCs w:val="22"/>
        </w:rPr>
        <w:tab/>
      </w:r>
      <w:r w:rsidR="00496B63">
        <w:rPr>
          <w:rFonts w:ascii="Verdana" w:hAnsi="Verdana"/>
          <w:sz w:val="22"/>
          <w:szCs w:val="22"/>
        </w:rPr>
        <w:t>10</w:t>
      </w:r>
    </w:p>
    <w:bookmarkEnd w:id="16"/>
    <w:p w14:paraId="2CD34763" w14:textId="6D0CBAA5" w:rsidR="00496B63" w:rsidRDefault="00496B63" w:rsidP="00496B63">
      <w:pPr>
        <w:pStyle w:val="AcctTtl"/>
        <w:tabs>
          <w:tab w:val="clear" w:pos="7920"/>
          <w:tab w:val="clear" w:pos="9360"/>
          <w:tab w:val="right" w:leader="dot" w:pos="9350"/>
        </w:tabs>
        <w:rPr>
          <w:rFonts w:ascii="Verdana" w:hAnsi="Verdana"/>
          <w:sz w:val="22"/>
          <w:szCs w:val="22"/>
        </w:rPr>
      </w:pPr>
      <w:r>
        <w:rPr>
          <w:rStyle w:val="Hyperlink"/>
          <w:rFonts w:ascii="Verdana" w:hAnsi="Verdana"/>
          <w:sz w:val="22"/>
          <w:szCs w:val="22"/>
        </w:rPr>
        <w:fldChar w:fldCharType="begin"/>
      </w:r>
      <w:r>
        <w:rPr>
          <w:rStyle w:val="Hyperlink"/>
          <w:rFonts w:ascii="Verdana" w:hAnsi="Verdana"/>
          <w:sz w:val="22"/>
          <w:szCs w:val="22"/>
        </w:rPr>
        <w:instrText xml:space="preserve"> HYPERLINK  \l "Special_Consideration_for_Charter_School" </w:instrText>
      </w:r>
      <w:r>
        <w:rPr>
          <w:rStyle w:val="Hyperlink"/>
          <w:rFonts w:ascii="Verdana" w:hAnsi="Verdana"/>
          <w:sz w:val="22"/>
          <w:szCs w:val="22"/>
        </w:rPr>
        <w:fldChar w:fldCharType="separate"/>
      </w:r>
      <w:r w:rsidRPr="00496B63">
        <w:rPr>
          <w:rStyle w:val="Hyperlink"/>
          <w:rFonts w:ascii="Verdana" w:hAnsi="Verdana"/>
          <w:sz w:val="22"/>
          <w:szCs w:val="22"/>
        </w:rPr>
        <w:t>Special Consideration for</w:t>
      </w:r>
      <w:r w:rsidRPr="00496B63">
        <w:rPr>
          <w:rStyle w:val="Hyperlink"/>
        </w:rPr>
        <w:t xml:space="preserve"> </w:t>
      </w:r>
      <w:r w:rsidRPr="00496B63">
        <w:rPr>
          <w:rStyle w:val="Hyperlink"/>
          <w:rFonts w:ascii="Verdana" w:hAnsi="Verdana"/>
          <w:sz w:val="22"/>
          <w:szCs w:val="22"/>
        </w:rPr>
        <w:t>Charter Schools</w:t>
      </w:r>
      <w:r>
        <w:rPr>
          <w:rStyle w:val="Hyperlink"/>
          <w:rFonts w:ascii="Verdana" w:hAnsi="Verdana"/>
          <w:sz w:val="22"/>
          <w:szCs w:val="22"/>
        </w:rPr>
        <w:fldChar w:fldCharType="end"/>
      </w:r>
      <w:r w:rsidRPr="005C5FA0">
        <w:rPr>
          <w:rFonts w:ascii="Verdana" w:hAnsi="Verdana"/>
          <w:sz w:val="22"/>
          <w:szCs w:val="22"/>
        </w:rPr>
        <w:tab/>
      </w:r>
      <w:r>
        <w:rPr>
          <w:rFonts w:ascii="Verdana" w:hAnsi="Verdana"/>
          <w:sz w:val="22"/>
          <w:szCs w:val="22"/>
        </w:rPr>
        <w:t>10</w:t>
      </w:r>
    </w:p>
    <w:p w14:paraId="78CF098A" w14:textId="5C06555D" w:rsidR="0030179F" w:rsidRPr="005C5FA0" w:rsidRDefault="00B829AC" w:rsidP="00577B38">
      <w:pPr>
        <w:pStyle w:val="AcctTtl"/>
        <w:tabs>
          <w:tab w:val="clear" w:pos="7920"/>
        </w:tabs>
        <w:rPr>
          <w:rFonts w:ascii="Verdana" w:hAnsi="Verdana"/>
          <w:sz w:val="22"/>
          <w:szCs w:val="22"/>
        </w:rPr>
      </w:pPr>
      <w:r w:rsidRPr="005C5FA0">
        <w:rPr>
          <w:rFonts w:ascii="Verdana" w:hAnsi="Verdana"/>
          <w:sz w:val="22"/>
          <w:szCs w:val="22"/>
        </w:rPr>
        <w:t>Procedures</w:t>
      </w:r>
      <w:r w:rsidR="00577B38" w:rsidRPr="005C5FA0">
        <w:rPr>
          <w:rFonts w:ascii="Verdana" w:hAnsi="Verdana"/>
          <w:sz w:val="22"/>
          <w:szCs w:val="22"/>
        </w:rPr>
        <w:tab/>
      </w:r>
      <w:r w:rsidR="00D3674A">
        <w:rPr>
          <w:rFonts w:ascii="Verdana" w:hAnsi="Verdana"/>
          <w:sz w:val="22"/>
          <w:szCs w:val="22"/>
        </w:rPr>
        <w:t>1</w:t>
      </w:r>
      <w:r w:rsidR="00496B63">
        <w:rPr>
          <w:rFonts w:ascii="Verdana" w:hAnsi="Verdana"/>
          <w:sz w:val="22"/>
          <w:szCs w:val="22"/>
        </w:rPr>
        <w:t>1</w:t>
      </w:r>
    </w:p>
    <w:p w14:paraId="6C95B81D" w14:textId="45B4B634" w:rsidR="00F674E9" w:rsidRPr="005C5FA0" w:rsidRDefault="00697BF9" w:rsidP="00C8375C">
      <w:pPr>
        <w:pStyle w:val="AcctTtl"/>
        <w:numPr>
          <w:ilvl w:val="0"/>
          <w:numId w:val="76"/>
        </w:numPr>
        <w:tabs>
          <w:tab w:val="clear" w:pos="7920"/>
        </w:tabs>
        <w:ind w:left="1080" w:hanging="720"/>
        <w:rPr>
          <w:rFonts w:ascii="Verdana" w:hAnsi="Verdana"/>
          <w:sz w:val="22"/>
          <w:szCs w:val="22"/>
        </w:rPr>
      </w:pPr>
      <w:hyperlink w:anchor="WRITTEN_POLICIES_PROCEDURES" w:history="1">
        <w:r w:rsidR="00F674E9" w:rsidRPr="007B6881">
          <w:rPr>
            <w:rStyle w:val="Hyperlink"/>
            <w:rFonts w:ascii="Verdana" w:hAnsi="Verdana"/>
          </w:rPr>
          <w:t>Written Policies and Procedures</w:t>
        </w:r>
      </w:hyperlink>
      <w:r w:rsidR="00F674E9" w:rsidRPr="005C5FA0">
        <w:rPr>
          <w:rFonts w:ascii="Verdana" w:hAnsi="Verdana"/>
          <w:sz w:val="22"/>
          <w:szCs w:val="22"/>
        </w:rPr>
        <w:tab/>
      </w:r>
      <w:r w:rsidR="00D3674A">
        <w:rPr>
          <w:rFonts w:ascii="Verdana" w:hAnsi="Verdana"/>
          <w:sz w:val="22"/>
          <w:szCs w:val="22"/>
        </w:rPr>
        <w:t>1</w:t>
      </w:r>
      <w:r w:rsidR="00496B63">
        <w:rPr>
          <w:rFonts w:ascii="Verdana" w:hAnsi="Verdana"/>
          <w:sz w:val="22"/>
          <w:szCs w:val="22"/>
        </w:rPr>
        <w:t>1</w:t>
      </w:r>
    </w:p>
    <w:p w14:paraId="6C226533" w14:textId="3AABC996" w:rsidR="00221C71" w:rsidRPr="005C5FA0" w:rsidRDefault="00697BF9" w:rsidP="00C8375C">
      <w:pPr>
        <w:pStyle w:val="AcctTtl"/>
        <w:numPr>
          <w:ilvl w:val="0"/>
          <w:numId w:val="76"/>
        </w:numPr>
        <w:tabs>
          <w:tab w:val="clear" w:pos="7920"/>
        </w:tabs>
        <w:ind w:left="1080" w:hanging="720"/>
        <w:rPr>
          <w:rFonts w:ascii="Verdana" w:hAnsi="Verdana"/>
        </w:rPr>
      </w:pPr>
      <w:hyperlink w:anchor="BOARD_FINANCE_COMMITTEE" w:history="1">
        <w:r w:rsidR="00F674E9" w:rsidRPr="007B6881">
          <w:rPr>
            <w:rStyle w:val="Hyperlink"/>
            <w:rFonts w:ascii="Verdana" w:hAnsi="Verdana"/>
          </w:rPr>
          <w:t>Board or Finance Committee</w:t>
        </w:r>
      </w:hyperlink>
      <w:r w:rsidR="00F674E9" w:rsidRPr="005C5FA0">
        <w:rPr>
          <w:rFonts w:ascii="Verdana" w:hAnsi="Verdana"/>
          <w:sz w:val="22"/>
          <w:szCs w:val="22"/>
        </w:rPr>
        <w:tab/>
      </w:r>
      <w:r w:rsidR="00D3674A">
        <w:rPr>
          <w:rFonts w:ascii="Verdana" w:hAnsi="Verdana"/>
          <w:sz w:val="22"/>
          <w:szCs w:val="22"/>
        </w:rPr>
        <w:t>1</w:t>
      </w:r>
      <w:r w:rsidR="00885467">
        <w:rPr>
          <w:rFonts w:ascii="Verdana" w:hAnsi="Verdana"/>
          <w:sz w:val="22"/>
          <w:szCs w:val="22"/>
        </w:rPr>
        <w:t>3</w:t>
      </w:r>
    </w:p>
    <w:p w14:paraId="2AA6ED33" w14:textId="17E461BF" w:rsidR="00F674E9" w:rsidRPr="005C5FA0" w:rsidRDefault="00697BF9" w:rsidP="00C8375C">
      <w:pPr>
        <w:pStyle w:val="AcctTtl"/>
        <w:numPr>
          <w:ilvl w:val="0"/>
          <w:numId w:val="76"/>
        </w:numPr>
        <w:tabs>
          <w:tab w:val="clear" w:pos="7920"/>
        </w:tabs>
        <w:ind w:left="1080" w:hanging="720"/>
        <w:rPr>
          <w:rFonts w:ascii="Verdana" w:hAnsi="Verdana"/>
        </w:rPr>
      </w:pPr>
      <w:hyperlink w:anchor="BANK_RECONCILIATIONS" w:history="1">
        <w:r w:rsidR="00F674E9" w:rsidRPr="005C5FA0">
          <w:rPr>
            <w:rStyle w:val="Hyperlink"/>
            <w:rFonts w:ascii="Verdana" w:hAnsi="Verdana"/>
          </w:rPr>
          <w:t>Bank Reconciliations</w:t>
        </w:r>
      </w:hyperlink>
      <w:r w:rsidR="00F674E9" w:rsidRPr="005C5FA0">
        <w:rPr>
          <w:rFonts w:ascii="Verdana" w:hAnsi="Verdana"/>
        </w:rPr>
        <w:tab/>
      </w:r>
      <w:r w:rsidR="00D3674A">
        <w:rPr>
          <w:rFonts w:ascii="Verdana" w:hAnsi="Verdana"/>
        </w:rPr>
        <w:t>1</w:t>
      </w:r>
      <w:r w:rsidR="00885467">
        <w:rPr>
          <w:rFonts w:ascii="Verdana" w:hAnsi="Verdana"/>
        </w:rPr>
        <w:t>4</w:t>
      </w:r>
    </w:p>
    <w:p w14:paraId="2572C77A" w14:textId="491EDA15" w:rsidR="00F674E9" w:rsidRPr="005C5FA0" w:rsidRDefault="00697BF9" w:rsidP="00C8375C">
      <w:pPr>
        <w:pStyle w:val="AcctTtl"/>
        <w:numPr>
          <w:ilvl w:val="0"/>
          <w:numId w:val="76"/>
        </w:numPr>
        <w:tabs>
          <w:tab w:val="clear" w:pos="7920"/>
        </w:tabs>
        <w:ind w:left="1080" w:hanging="720"/>
        <w:rPr>
          <w:rFonts w:ascii="Verdana" w:hAnsi="Verdana"/>
        </w:rPr>
      </w:pPr>
      <w:hyperlink w:anchor="COLLECTIONS" w:history="1">
        <w:r w:rsidR="00F674E9" w:rsidRPr="005C5FA0">
          <w:rPr>
            <w:rStyle w:val="Hyperlink"/>
            <w:rFonts w:ascii="Verdana" w:hAnsi="Verdana"/>
          </w:rPr>
          <w:t>Collections</w:t>
        </w:r>
      </w:hyperlink>
      <w:r w:rsidR="00F674E9" w:rsidRPr="005C5FA0">
        <w:rPr>
          <w:rFonts w:ascii="Verdana" w:hAnsi="Verdana"/>
        </w:rPr>
        <w:t xml:space="preserve"> </w:t>
      </w:r>
      <w:r w:rsidR="00F674E9" w:rsidRPr="005C5FA0">
        <w:rPr>
          <w:rFonts w:ascii="Verdana" w:hAnsi="Verdana"/>
        </w:rPr>
        <w:tab/>
      </w:r>
      <w:r w:rsidR="00D3674A">
        <w:rPr>
          <w:rFonts w:ascii="Verdana" w:hAnsi="Verdana"/>
        </w:rPr>
        <w:t>14</w:t>
      </w:r>
    </w:p>
    <w:p w14:paraId="412B09DF" w14:textId="5AF0446F" w:rsidR="00F674E9" w:rsidRPr="005C5FA0" w:rsidRDefault="00697BF9" w:rsidP="00C8375C">
      <w:pPr>
        <w:pStyle w:val="AcctTtl"/>
        <w:numPr>
          <w:ilvl w:val="0"/>
          <w:numId w:val="76"/>
        </w:numPr>
        <w:tabs>
          <w:tab w:val="clear" w:pos="7920"/>
        </w:tabs>
        <w:ind w:left="1080" w:hanging="720"/>
        <w:rPr>
          <w:rFonts w:ascii="Verdana" w:hAnsi="Verdana"/>
        </w:rPr>
      </w:pPr>
      <w:hyperlink w:anchor="NONPAYROLL_DISBURSEMENTS" w:history="1">
        <w:r w:rsidR="00F674E9" w:rsidRPr="005C5FA0">
          <w:rPr>
            <w:rStyle w:val="Hyperlink"/>
            <w:rFonts w:ascii="Verdana" w:hAnsi="Verdana"/>
          </w:rPr>
          <w:t>Non-Payroll Disbursements</w:t>
        </w:r>
      </w:hyperlink>
      <w:r w:rsidR="00F674E9" w:rsidRPr="005C5FA0">
        <w:rPr>
          <w:rFonts w:ascii="Verdana" w:hAnsi="Verdana"/>
        </w:rPr>
        <w:tab/>
      </w:r>
      <w:r w:rsidR="00D3674A">
        <w:rPr>
          <w:rFonts w:ascii="Verdana" w:hAnsi="Verdana"/>
        </w:rPr>
        <w:t>1</w:t>
      </w:r>
      <w:r w:rsidR="00885467">
        <w:rPr>
          <w:rFonts w:ascii="Verdana" w:hAnsi="Verdana"/>
        </w:rPr>
        <w:t>6</w:t>
      </w:r>
    </w:p>
    <w:p w14:paraId="58766F9B" w14:textId="5DB3A2C5" w:rsidR="003878EF" w:rsidRPr="005C5FA0" w:rsidRDefault="00697BF9" w:rsidP="003878EF">
      <w:pPr>
        <w:pStyle w:val="AcctTtl"/>
        <w:numPr>
          <w:ilvl w:val="0"/>
          <w:numId w:val="76"/>
        </w:numPr>
        <w:tabs>
          <w:tab w:val="clear" w:pos="7920"/>
        </w:tabs>
        <w:ind w:left="1080" w:hanging="720"/>
        <w:rPr>
          <w:rFonts w:ascii="Verdana" w:hAnsi="Verdana"/>
        </w:rPr>
      </w:pPr>
      <w:hyperlink w:anchor="CARDS" w:history="1">
        <w:r w:rsidR="003878EF" w:rsidRPr="005C5FA0">
          <w:rPr>
            <w:rStyle w:val="Hyperlink"/>
            <w:rFonts w:ascii="Verdana" w:hAnsi="Verdana"/>
          </w:rPr>
          <w:t>Credit Cards/Debit Cards/Fuel Cards/Purchase Cards</w:t>
        </w:r>
      </w:hyperlink>
      <w:r w:rsidR="003878EF" w:rsidRPr="005C5FA0">
        <w:rPr>
          <w:rFonts w:ascii="Verdana" w:hAnsi="Verdana"/>
        </w:rPr>
        <w:tab/>
      </w:r>
      <w:r w:rsidR="00D3674A">
        <w:rPr>
          <w:rFonts w:ascii="Verdana" w:hAnsi="Verdana"/>
        </w:rPr>
        <w:t>1</w:t>
      </w:r>
      <w:r w:rsidR="00885467">
        <w:rPr>
          <w:rFonts w:ascii="Verdana" w:hAnsi="Verdana"/>
        </w:rPr>
        <w:t>7</w:t>
      </w:r>
    </w:p>
    <w:p w14:paraId="00400B20" w14:textId="52111E86" w:rsidR="00F674E9" w:rsidRPr="005C5FA0" w:rsidRDefault="00697BF9" w:rsidP="00C8375C">
      <w:pPr>
        <w:pStyle w:val="AcctTtl"/>
        <w:numPr>
          <w:ilvl w:val="0"/>
          <w:numId w:val="76"/>
        </w:numPr>
        <w:tabs>
          <w:tab w:val="clear" w:pos="7920"/>
        </w:tabs>
        <w:ind w:left="1080" w:hanging="720"/>
        <w:rPr>
          <w:rFonts w:ascii="Verdana" w:hAnsi="Verdana"/>
        </w:rPr>
      </w:pPr>
      <w:hyperlink w:anchor="Travel" w:history="1">
        <w:r w:rsidR="00F674E9" w:rsidRPr="005C5FA0">
          <w:rPr>
            <w:rStyle w:val="Hyperlink"/>
            <w:rFonts w:ascii="Verdana" w:hAnsi="Verdana"/>
          </w:rPr>
          <w:t>Travel and Travel-Related Expense Reimbursements</w:t>
        </w:r>
      </w:hyperlink>
      <w:r w:rsidR="00F674E9" w:rsidRPr="005C5FA0">
        <w:rPr>
          <w:rFonts w:ascii="Verdana" w:hAnsi="Verdana"/>
        </w:rPr>
        <w:t xml:space="preserve"> </w:t>
      </w:r>
      <w:r w:rsidR="00F674E9" w:rsidRPr="005C5FA0">
        <w:rPr>
          <w:rFonts w:ascii="Verdana" w:hAnsi="Verdana"/>
        </w:rPr>
        <w:tab/>
      </w:r>
      <w:r w:rsidR="00D3674A">
        <w:rPr>
          <w:rFonts w:ascii="Verdana" w:hAnsi="Verdana"/>
        </w:rPr>
        <w:t>1</w:t>
      </w:r>
      <w:r w:rsidR="00885467">
        <w:rPr>
          <w:rFonts w:ascii="Verdana" w:hAnsi="Verdana"/>
        </w:rPr>
        <w:t>8</w:t>
      </w:r>
    </w:p>
    <w:p w14:paraId="6E7C3488" w14:textId="4C529763" w:rsidR="00F674E9" w:rsidRPr="005C5FA0" w:rsidRDefault="00697BF9" w:rsidP="00C8375C">
      <w:pPr>
        <w:pStyle w:val="AcctTtl"/>
        <w:numPr>
          <w:ilvl w:val="0"/>
          <w:numId w:val="76"/>
        </w:numPr>
        <w:tabs>
          <w:tab w:val="clear" w:pos="7920"/>
        </w:tabs>
        <w:ind w:left="1080" w:hanging="720"/>
        <w:rPr>
          <w:rFonts w:ascii="Verdana" w:hAnsi="Verdana"/>
        </w:rPr>
      </w:pPr>
      <w:hyperlink w:anchor="CONTRACTS" w:history="1">
        <w:r w:rsidR="00F674E9" w:rsidRPr="005C5FA0">
          <w:rPr>
            <w:rStyle w:val="Hyperlink"/>
            <w:rFonts w:ascii="Verdana" w:hAnsi="Verdana"/>
          </w:rPr>
          <w:t>Contracts</w:t>
        </w:r>
      </w:hyperlink>
      <w:r w:rsidR="00F674E9" w:rsidRPr="005C5FA0">
        <w:rPr>
          <w:rFonts w:ascii="Verdana" w:hAnsi="Verdana"/>
        </w:rPr>
        <w:tab/>
      </w:r>
      <w:r w:rsidR="00D3674A">
        <w:rPr>
          <w:rFonts w:ascii="Verdana" w:hAnsi="Verdana"/>
        </w:rPr>
        <w:t>1</w:t>
      </w:r>
      <w:r w:rsidR="00885467">
        <w:rPr>
          <w:rFonts w:ascii="Verdana" w:hAnsi="Verdana"/>
        </w:rPr>
        <w:t>9</w:t>
      </w:r>
    </w:p>
    <w:p w14:paraId="2C866116" w14:textId="23892C2B" w:rsidR="00F674E9" w:rsidRPr="005C5FA0" w:rsidRDefault="00697BF9" w:rsidP="00C8375C">
      <w:pPr>
        <w:pStyle w:val="AcctTtl"/>
        <w:numPr>
          <w:ilvl w:val="0"/>
          <w:numId w:val="76"/>
        </w:numPr>
        <w:tabs>
          <w:tab w:val="clear" w:pos="7920"/>
        </w:tabs>
        <w:ind w:left="1080" w:hanging="720"/>
        <w:rPr>
          <w:rFonts w:ascii="Verdana" w:hAnsi="Verdana"/>
        </w:rPr>
      </w:pPr>
      <w:hyperlink w:anchor="PAYROLL_PERSONNEL" w:history="1">
        <w:r w:rsidR="00F674E9" w:rsidRPr="005C5FA0">
          <w:rPr>
            <w:rStyle w:val="Hyperlink"/>
            <w:rFonts w:ascii="Verdana" w:hAnsi="Verdana"/>
          </w:rPr>
          <w:t>Payroll and Personnel</w:t>
        </w:r>
      </w:hyperlink>
      <w:r w:rsidR="00F674E9" w:rsidRPr="005C5FA0">
        <w:rPr>
          <w:rFonts w:ascii="Verdana" w:hAnsi="Verdana"/>
        </w:rPr>
        <w:tab/>
      </w:r>
      <w:r w:rsidR="00885467">
        <w:rPr>
          <w:rFonts w:ascii="Verdana" w:hAnsi="Verdana"/>
        </w:rPr>
        <w:t>20</w:t>
      </w:r>
    </w:p>
    <w:p w14:paraId="7EA24756" w14:textId="0DFAFE66" w:rsidR="00C8375C" w:rsidRPr="005C5FA0" w:rsidRDefault="00697BF9" w:rsidP="00C8375C">
      <w:pPr>
        <w:pStyle w:val="AcctTtl"/>
        <w:numPr>
          <w:ilvl w:val="0"/>
          <w:numId w:val="76"/>
        </w:numPr>
        <w:tabs>
          <w:tab w:val="clear" w:pos="7920"/>
        </w:tabs>
        <w:ind w:left="1080" w:hanging="720"/>
        <w:rPr>
          <w:rFonts w:ascii="Verdana" w:hAnsi="Verdana"/>
        </w:rPr>
      </w:pPr>
      <w:hyperlink w:anchor="ETHICS" w:history="1">
        <w:r w:rsidR="00F32806" w:rsidRPr="005C5FA0">
          <w:rPr>
            <w:rStyle w:val="Hyperlink"/>
            <w:rFonts w:ascii="Verdana" w:hAnsi="Verdana"/>
          </w:rPr>
          <w:t>Ethics</w:t>
        </w:r>
      </w:hyperlink>
      <w:r w:rsidR="00C8375C" w:rsidRPr="005C5FA0">
        <w:rPr>
          <w:rFonts w:ascii="Verdana" w:hAnsi="Verdana"/>
        </w:rPr>
        <w:tab/>
      </w:r>
      <w:r w:rsidR="00885467">
        <w:rPr>
          <w:rFonts w:ascii="Verdana" w:hAnsi="Verdana"/>
        </w:rPr>
        <w:t>21</w:t>
      </w:r>
    </w:p>
    <w:p w14:paraId="78C6E0BB" w14:textId="50C09E6F" w:rsidR="004E39BC" w:rsidRPr="005C5FA0" w:rsidRDefault="00697BF9" w:rsidP="00263767">
      <w:pPr>
        <w:pStyle w:val="AcctTtl"/>
        <w:numPr>
          <w:ilvl w:val="0"/>
          <w:numId w:val="76"/>
        </w:numPr>
        <w:tabs>
          <w:tab w:val="clear" w:pos="7920"/>
        </w:tabs>
        <w:ind w:left="1080" w:hanging="720"/>
        <w:jc w:val="both"/>
        <w:rPr>
          <w:rFonts w:ascii="Verdana" w:hAnsi="Verdana"/>
        </w:rPr>
      </w:pPr>
      <w:hyperlink w:anchor="DEBT_SERVICE" w:history="1">
        <w:r w:rsidR="00F32806" w:rsidRPr="005C5FA0">
          <w:rPr>
            <w:rStyle w:val="Hyperlink"/>
            <w:rFonts w:ascii="Verdana" w:hAnsi="Verdana"/>
          </w:rPr>
          <w:t>Debt Service</w:t>
        </w:r>
      </w:hyperlink>
      <w:r w:rsidR="00F32806" w:rsidRPr="005C5FA0">
        <w:rPr>
          <w:rFonts w:ascii="Verdana" w:hAnsi="Verdana"/>
        </w:rPr>
        <w:tab/>
      </w:r>
      <w:r w:rsidR="00885467">
        <w:rPr>
          <w:rFonts w:ascii="Verdana" w:hAnsi="Verdana"/>
        </w:rPr>
        <w:t>21</w:t>
      </w:r>
    </w:p>
    <w:p w14:paraId="34501898" w14:textId="515B6AB7" w:rsidR="00F32806" w:rsidRPr="005C5FA0" w:rsidRDefault="00697BF9" w:rsidP="00263767">
      <w:pPr>
        <w:pStyle w:val="AcctTtl"/>
        <w:numPr>
          <w:ilvl w:val="0"/>
          <w:numId w:val="76"/>
        </w:numPr>
        <w:tabs>
          <w:tab w:val="clear" w:pos="7920"/>
        </w:tabs>
        <w:ind w:left="1080" w:hanging="720"/>
        <w:jc w:val="both"/>
        <w:rPr>
          <w:rFonts w:ascii="Verdana" w:hAnsi="Verdana"/>
        </w:rPr>
      </w:pPr>
      <w:hyperlink w:anchor="FRAUD_NOTICE" w:history="1">
        <w:r w:rsidR="00F32806" w:rsidRPr="005C5FA0">
          <w:rPr>
            <w:rStyle w:val="Hyperlink"/>
            <w:rFonts w:ascii="Verdana" w:hAnsi="Verdana"/>
          </w:rPr>
          <w:t>Fraud Notice</w:t>
        </w:r>
      </w:hyperlink>
      <w:r w:rsidR="00F32806" w:rsidRPr="005C5FA0">
        <w:rPr>
          <w:rFonts w:ascii="Verdana" w:hAnsi="Verdana"/>
        </w:rPr>
        <w:tab/>
      </w:r>
      <w:r w:rsidR="00D3674A">
        <w:rPr>
          <w:rFonts w:ascii="Verdana" w:hAnsi="Verdana"/>
        </w:rPr>
        <w:t>2</w:t>
      </w:r>
      <w:r w:rsidR="00885467">
        <w:rPr>
          <w:rFonts w:ascii="Verdana" w:hAnsi="Verdana"/>
        </w:rPr>
        <w:t>2</w:t>
      </w:r>
    </w:p>
    <w:p w14:paraId="785264AA" w14:textId="69968765" w:rsidR="00F32806" w:rsidRPr="005C5FA0" w:rsidRDefault="00697BF9" w:rsidP="00263767">
      <w:pPr>
        <w:pStyle w:val="AcctTtl"/>
        <w:numPr>
          <w:ilvl w:val="0"/>
          <w:numId w:val="76"/>
        </w:numPr>
        <w:tabs>
          <w:tab w:val="clear" w:pos="7920"/>
        </w:tabs>
        <w:ind w:left="1080" w:hanging="720"/>
        <w:jc w:val="both"/>
        <w:rPr>
          <w:rFonts w:ascii="Verdana" w:hAnsi="Verdana"/>
        </w:rPr>
      </w:pPr>
      <w:hyperlink w:anchor="INFORMATION_TECHNOLOGY" w:history="1">
        <w:r w:rsidR="00F32806" w:rsidRPr="005C5FA0">
          <w:rPr>
            <w:rStyle w:val="Hyperlink"/>
            <w:rFonts w:ascii="Verdana" w:hAnsi="Verdana"/>
          </w:rPr>
          <w:t>Information Technology Disaster Recovery/Business Continuity</w:t>
        </w:r>
      </w:hyperlink>
      <w:r w:rsidR="00F32806" w:rsidRPr="005C5FA0">
        <w:rPr>
          <w:rFonts w:ascii="Verdana" w:hAnsi="Verdana"/>
        </w:rPr>
        <w:tab/>
      </w:r>
      <w:r w:rsidR="00D3674A">
        <w:rPr>
          <w:rFonts w:ascii="Verdana" w:hAnsi="Verdana"/>
        </w:rPr>
        <w:t>2</w:t>
      </w:r>
      <w:r w:rsidR="00885467">
        <w:rPr>
          <w:rFonts w:ascii="Verdana" w:hAnsi="Verdana"/>
        </w:rPr>
        <w:t>2</w:t>
      </w:r>
    </w:p>
    <w:p w14:paraId="10DE8903" w14:textId="61743133" w:rsidR="00F32806" w:rsidRPr="005C5FA0" w:rsidRDefault="00697BF9" w:rsidP="00263767">
      <w:pPr>
        <w:pStyle w:val="AcctTtl"/>
        <w:numPr>
          <w:ilvl w:val="0"/>
          <w:numId w:val="76"/>
        </w:numPr>
        <w:tabs>
          <w:tab w:val="clear" w:pos="7920"/>
        </w:tabs>
        <w:ind w:left="1080" w:hanging="720"/>
        <w:jc w:val="both"/>
        <w:rPr>
          <w:rFonts w:ascii="Verdana" w:hAnsi="Verdana"/>
        </w:rPr>
      </w:pPr>
      <w:hyperlink w:anchor="PREVENTION_SEXUAL_HARASSMENT" w:history="1">
        <w:r w:rsidR="00F32806" w:rsidRPr="005C5FA0">
          <w:rPr>
            <w:rStyle w:val="Hyperlink"/>
            <w:rFonts w:ascii="Verdana" w:hAnsi="Verdana"/>
          </w:rPr>
          <w:t>Prevention of Sexual Harassment</w:t>
        </w:r>
      </w:hyperlink>
      <w:r w:rsidR="00F32806" w:rsidRPr="005C5FA0">
        <w:rPr>
          <w:rFonts w:ascii="Verdana" w:hAnsi="Verdana"/>
        </w:rPr>
        <w:tab/>
      </w:r>
      <w:r w:rsidR="00D3674A">
        <w:rPr>
          <w:rFonts w:ascii="Verdana" w:hAnsi="Verdana"/>
        </w:rPr>
        <w:t>2</w:t>
      </w:r>
      <w:r w:rsidR="00885467">
        <w:rPr>
          <w:rFonts w:ascii="Verdana" w:hAnsi="Verdana"/>
        </w:rPr>
        <w:t>3</w:t>
      </w:r>
    </w:p>
    <w:p w14:paraId="60ECE0F5" w14:textId="77777777" w:rsidR="004E39BC" w:rsidRPr="005C5FA0" w:rsidRDefault="004E39BC" w:rsidP="00263767">
      <w:pPr>
        <w:jc w:val="both"/>
        <w:rPr>
          <w:rFonts w:ascii="Verdana" w:hAnsi="Verdana" w:cs="Times New Roman"/>
          <w:sz w:val="24"/>
          <w:szCs w:val="24"/>
        </w:rPr>
      </w:pPr>
    </w:p>
    <w:p w14:paraId="16CCAA67" w14:textId="39ADF06A" w:rsidR="004E39BC" w:rsidRPr="005C5FA0" w:rsidRDefault="004E39BC" w:rsidP="00263767">
      <w:pPr>
        <w:jc w:val="both"/>
        <w:rPr>
          <w:rFonts w:ascii="Verdana" w:hAnsi="Verdana" w:cs="Times New Roman"/>
          <w:sz w:val="24"/>
          <w:szCs w:val="24"/>
        </w:rPr>
        <w:sectPr w:rsidR="004E39BC" w:rsidRPr="005C5FA0" w:rsidSect="007D679A">
          <w:headerReference w:type="even" r:id="rId11"/>
          <w:headerReference w:type="default" r:id="rId12"/>
          <w:footerReference w:type="default" r:id="rId13"/>
          <w:headerReference w:type="first" r:id="rId14"/>
          <w:pgSz w:w="12240" w:h="15840"/>
          <w:pgMar w:top="1973" w:right="1440" w:bottom="1440" w:left="1440" w:header="1080" w:footer="720" w:gutter="0"/>
          <w:cols w:space="720"/>
          <w:docGrid w:linePitch="360"/>
        </w:sectPr>
      </w:pPr>
    </w:p>
    <w:p w14:paraId="19B807E4" w14:textId="57397D20" w:rsidR="00507EB3" w:rsidRPr="005C5FA0" w:rsidRDefault="00507EB3" w:rsidP="00507EB3">
      <w:pPr>
        <w:pStyle w:val="SectionHeader"/>
        <w:rPr>
          <w:rFonts w:ascii="Verdana" w:hAnsi="Verdana"/>
        </w:rPr>
      </w:pPr>
      <w:r w:rsidRPr="005C5FA0">
        <w:rPr>
          <w:rFonts w:ascii="Verdana" w:hAnsi="Verdana"/>
        </w:rPr>
        <w:lastRenderedPageBreak/>
        <w:t>IN</w:t>
      </w:r>
      <w:r w:rsidR="00DD55C7" w:rsidRPr="005C5FA0">
        <w:rPr>
          <w:rFonts w:ascii="Verdana" w:hAnsi="Verdana"/>
        </w:rPr>
        <w:t>STRUCTIONS</w:t>
      </w:r>
    </w:p>
    <w:p w14:paraId="441362EF" w14:textId="77777777" w:rsidR="00507EB3" w:rsidRPr="005C5FA0" w:rsidRDefault="00507EB3" w:rsidP="00507EB3">
      <w:pPr>
        <w:pBdr>
          <w:bottom w:val="single" w:sz="18" w:space="1" w:color="053A63"/>
        </w:pBdr>
        <w:jc w:val="center"/>
        <w:rPr>
          <w:rFonts w:ascii="Verdana" w:hAnsi="Verdana"/>
        </w:rPr>
      </w:pPr>
    </w:p>
    <w:p w14:paraId="1E537236" w14:textId="56F94162" w:rsidR="002733E5" w:rsidRPr="005C5FA0" w:rsidRDefault="002733E5" w:rsidP="00223C6C">
      <w:pPr>
        <w:jc w:val="both"/>
        <w:rPr>
          <w:rFonts w:ascii="Verdana" w:hAnsi="Verdana" w:cs="Times New Roman"/>
          <w:b/>
          <w:i/>
          <w:u w:val="single"/>
        </w:rPr>
      </w:pPr>
      <w:bookmarkStart w:id="17" w:name="INTRO"/>
      <w:r w:rsidRPr="005C5FA0">
        <w:rPr>
          <w:rFonts w:ascii="Verdana" w:hAnsi="Verdana" w:cs="Times New Roman"/>
          <w:b/>
          <w:i/>
          <w:u w:val="single"/>
        </w:rPr>
        <w:t>Introduction</w:t>
      </w:r>
      <w:bookmarkEnd w:id="17"/>
      <w:r w:rsidR="00773CBA" w:rsidRPr="005C5FA0">
        <w:rPr>
          <w:rFonts w:ascii="Verdana" w:hAnsi="Verdana" w:cs="Times New Roman"/>
          <w:b/>
          <w:i/>
          <w:u w:val="single"/>
        </w:rPr>
        <w:t xml:space="preserve"> </w:t>
      </w:r>
    </w:p>
    <w:p w14:paraId="02513E50" w14:textId="0578075E" w:rsidR="00773CBA" w:rsidRPr="005C5FA0" w:rsidRDefault="00DC0947" w:rsidP="00773CBA">
      <w:pPr>
        <w:jc w:val="both"/>
        <w:rPr>
          <w:rFonts w:ascii="Verdana" w:hAnsi="Verdana" w:cs="Times New Roman"/>
          <w:b/>
        </w:rPr>
      </w:pPr>
      <w:r w:rsidRPr="005C5FA0">
        <w:rPr>
          <w:rFonts w:ascii="Verdana" w:hAnsi="Verdana" w:cs="Times New Roman"/>
        </w:rPr>
        <w:t xml:space="preserve">The </w:t>
      </w:r>
      <w:r w:rsidR="00404DDC" w:rsidRPr="005C5FA0">
        <w:rPr>
          <w:rFonts w:ascii="Verdana" w:hAnsi="Verdana" w:cs="Times New Roman"/>
        </w:rPr>
        <w:t xml:space="preserve">Louisiana </w:t>
      </w:r>
      <w:r w:rsidR="00C94CA3" w:rsidRPr="005C5FA0">
        <w:rPr>
          <w:rFonts w:ascii="Verdana" w:hAnsi="Verdana" w:cs="Times New Roman"/>
        </w:rPr>
        <w:t xml:space="preserve">Legislative </w:t>
      </w:r>
      <w:r w:rsidR="00404DDC" w:rsidRPr="005C5FA0">
        <w:rPr>
          <w:rFonts w:ascii="Verdana" w:hAnsi="Verdana" w:cs="Times New Roman"/>
        </w:rPr>
        <w:t>Auditor</w:t>
      </w:r>
      <w:r w:rsidR="00023AF8" w:rsidRPr="005C5FA0">
        <w:rPr>
          <w:rFonts w:ascii="Verdana" w:hAnsi="Verdana" w:cs="Times New Roman"/>
        </w:rPr>
        <w:t xml:space="preserve"> (LLA)</w:t>
      </w:r>
      <w:r w:rsidR="001F4CC6" w:rsidRPr="005C5FA0">
        <w:rPr>
          <w:rFonts w:ascii="Verdana" w:hAnsi="Verdana" w:cs="Times New Roman"/>
        </w:rPr>
        <w:t xml:space="preserve"> has prescribed statewide</w:t>
      </w:r>
      <w:r w:rsidR="00404DDC" w:rsidRPr="005C5FA0">
        <w:rPr>
          <w:rFonts w:ascii="Verdana" w:hAnsi="Verdana" w:cs="Times New Roman"/>
        </w:rPr>
        <w:t xml:space="preserve"> </w:t>
      </w:r>
      <w:r w:rsidRPr="005C5FA0">
        <w:rPr>
          <w:rFonts w:ascii="Verdana" w:hAnsi="Verdana" w:cs="Times New Roman"/>
        </w:rPr>
        <w:t>agreed-upon procedures</w:t>
      </w:r>
      <w:r w:rsidR="00C77982" w:rsidRPr="005C5FA0">
        <w:rPr>
          <w:rFonts w:ascii="Verdana" w:hAnsi="Verdana" w:cs="Times New Roman"/>
        </w:rPr>
        <w:t xml:space="preserve"> (AUPs)</w:t>
      </w:r>
      <w:r w:rsidRPr="005C5FA0">
        <w:rPr>
          <w:rFonts w:ascii="Verdana" w:hAnsi="Verdana" w:cs="Times New Roman"/>
        </w:rPr>
        <w:t xml:space="preserve"> below</w:t>
      </w:r>
      <w:r w:rsidR="00404DDC" w:rsidRPr="005C5FA0">
        <w:rPr>
          <w:rFonts w:ascii="Verdana" w:hAnsi="Verdana" w:cs="Times New Roman"/>
        </w:rPr>
        <w:t>, which</w:t>
      </w:r>
      <w:r w:rsidRPr="005C5FA0">
        <w:rPr>
          <w:rFonts w:ascii="Verdana" w:hAnsi="Verdana" w:cs="Times New Roman"/>
        </w:rPr>
        <w:t xml:space="preserve"> are intended to represent a minimum level of </w:t>
      </w:r>
      <w:r w:rsidR="00C77982" w:rsidRPr="005C5FA0">
        <w:rPr>
          <w:rFonts w:ascii="Verdana" w:hAnsi="Verdana" w:cs="Times New Roman"/>
        </w:rPr>
        <w:t xml:space="preserve">additional </w:t>
      </w:r>
      <w:r w:rsidRPr="005C5FA0">
        <w:rPr>
          <w:rFonts w:ascii="Verdana" w:hAnsi="Verdana" w:cs="Times New Roman"/>
        </w:rPr>
        <w:t xml:space="preserve">work to be performed </w:t>
      </w:r>
      <w:r w:rsidR="005F5CFD" w:rsidRPr="005C5FA0">
        <w:rPr>
          <w:rFonts w:ascii="Verdana" w:hAnsi="Verdana" w:cs="Times New Roman"/>
        </w:rPr>
        <w:t>at</w:t>
      </w:r>
      <w:r w:rsidRPr="005C5FA0">
        <w:rPr>
          <w:rFonts w:ascii="Verdana" w:hAnsi="Verdana" w:cs="Times New Roman"/>
        </w:rPr>
        <w:t xml:space="preserve"> those </w:t>
      </w:r>
      <w:r w:rsidR="001F332F" w:rsidRPr="005C5FA0">
        <w:rPr>
          <w:rFonts w:ascii="Verdana" w:hAnsi="Verdana" w:cs="Times New Roman"/>
        </w:rPr>
        <w:t xml:space="preserve">local </w:t>
      </w:r>
      <w:r w:rsidR="0092241F" w:rsidRPr="005C5FA0">
        <w:rPr>
          <w:rFonts w:ascii="Verdana" w:hAnsi="Verdana" w:cs="Times New Roman"/>
        </w:rPr>
        <w:t>entities (</w:t>
      </w:r>
      <w:r w:rsidRPr="005C5FA0">
        <w:rPr>
          <w:rFonts w:ascii="Verdana" w:hAnsi="Verdana" w:cs="Times New Roman"/>
        </w:rPr>
        <w:t xml:space="preserve">local governments </w:t>
      </w:r>
      <w:r w:rsidR="00C94CA3" w:rsidRPr="005C5FA0">
        <w:rPr>
          <w:rFonts w:ascii="Verdana" w:hAnsi="Verdana" w:cs="Times New Roman"/>
        </w:rPr>
        <w:t xml:space="preserve">and </w:t>
      </w:r>
      <w:r w:rsidR="0092241F" w:rsidRPr="005C5FA0">
        <w:rPr>
          <w:rFonts w:ascii="Verdana" w:hAnsi="Verdana" w:cs="Times New Roman"/>
        </w:rPr>
        <w:t xml:space="preserve">quasi-public organizations, including </w:t>
      </w:r>
      <w:r w:rsidR="00C94CA3" w:rsidRPr="005C5FA0">
        <w:rPr>
          <w:rFonts w:ascii="Verdana" w:hAnsi="Verdana" w:cs="Times New Roman"/>
        </w:rPr>
        <w:t>no</w:t>
      </w:r>
      <w:r w:rsidR="00AE2882" w:rsidRPr="005C5FA0">
        <w:rPr>
          <w:rFonts w:ascii="Verdana" w:hAnsi="Verdana" w:cs="Times New Roman"/>
        </w:rPr>
        <w:t>t-for-</w:t>
      </w:r>
      <w:r w:rsidR="00C94CA3" w:rsidRPr="005C5FA0">
        <w:rPr>
          <w:rFonts w:ascii="Verdana" w:hAnsi="Verdana" w:cs="Times New Roman"/>
        </w:rPr>
        <w:t>profit</w:t>
      </w:r>
      <w:r w:rsidR="00AE2882" w:rsidRPr="005C5FA0">
        <w:rPr>
          <w:rFonts w:ascii="Verdana" w:hAnsi="Verdana" w:cs="Times New Roman"/>
        </w:rPr>
        <w:t xml:space="preserve"> organizations</w:t>
      </w:r>
      <w:r w:rsidR="0092241F" w:rsidRPr="005C5FA0">
        <w:rPr>
          <w:rFonts w:ascii="Verdana" w:hAnsi="Verdana" w:cs="Times New Roman"/>
        </w:rPr>
        <w:t>)</w:t>
      </w:r>
      <w:r w:rsidR="00C94CA3" w:rsidRPr="005C5FA0">
        <w:rPr>
          <w:rFonts w:ascii="Verdana" w:hAnsi="Verdana" w:cs="Times New Roman"/>
        </w:rPr>
        <w:t xml:space="preserve"> that meet the legal requirement to have an audit under the Audit Law</w:t>
      </w:r>
      <w:r w:rsidR="00697F7D" w:rsidRPr="005C5FA0">
        <w:rPr>
          <w:rStyle w:val="FootnoteReference"/>
          <w:rFonts w:ascii="Verdana" w:hAnsi="Verdana" w:cs="Times New Roman"/>
        </w:rPr>
        <w:footnoteReference w:id="2"/>
      </w:r>
      <w:r w:rsidR="00A5584A" w:rsidRPr="005C5FA0">
        <w:rPr>
          <w:rFonts w:ascii="Verdana" w:hAnsi="Verdana" w:cs="Times New Roman"/>
        </w:rPr>
        <w:t xml:space="preserve"> (i.e., public funds totaling $500,000</w:t>
      </w:r>
      <w:r w:rsidR="00360777" w:rsidRPr="005C5FA0">
        <w:rPr>
          <w:rFonts w:ascii="Verdana" w:hAnsi="Verdana" w:cs="Times New Roman"/>
        </w:rPr>
        <w:t xml:space="preserve"> or more</w:t>
      </w:r>
      <w:r w:rsidR="00A5584A" w:rsidRPr="005C5FA0">
        <w:rPr>
          <w:rFonts w:ascii="Verdana" w:hAnsi="Verdana" w:cs="Times New Roman"/>
        </w:rPr>
        <w:t xml:space="preserve"> in revenues and other sources)</w:t>
      </w:r>
      <w:r w:rsidRPr="005C5FA0">
        <w:rPr>
          <w:rFonts w:ascii="Verdana" w:hAnsi="Verdana" w:cs="Times New Roman"/>
        </w:rPr>
        <w:t>.</w:t>
      </w:r>
      <w:r w:rsidR="00C94CA3" w:rsidRPr="005C5FA0">
        <w:rPr>
          <w:rFonts w:ascii="Verdana" w:hAnsi="Verdana" w:cs="Times New Roman"/>
        </w:rPr>
        <w:t xml:space="preserve"> </w:t>
      </w:r>
      <w:r w:rsidR="00773CBA" w:rsidRPr="005C5FA0">
        <w:rPr>
          <w:rFonts w:ascii="Verdana" w:hAnsi="Verdana" w:cs="Times New Roman"/>
          <w:b/>
        </w:rPr>
        <w:t xml:space="preserve">This update to the </w:t>
      </w:r>
      <w:r w:rsidR="00BD1C86">
        <w:rPr>
          <w:rFonts w:ascii="Verdana" w:hAnsi="Verdana" w:cs="Times New Roman"/>
          <w:b/>
        </w:rPr>
        <w:t>AUP</w:t>
      </w:r>
      <w:r w:rsidR="00773CBA" w:rsidRPr="005C5FA0">
        <w:rPr>
          <w:rFonts w:ascii="Verdana" w:hAnsi="Verdana" w:cs="Times New Roman"/>
          <w:b/>
        </w:rPr>
        <w:t xml:space="preserve">s will be effective for those entities that have fiscal years </w:t>
      </w:r>
      <w:r w:rsidR="00BD1C86">
        <w:rPr>
          <w:rFonts w:ascii="Verdana" w:hAnsi="Verdana" w:cs="Times New Roman"/>
          <w:b/>
        </w:rPr>
        <w:t xml:space="preserve">beginning on or after January 1, </w:t>
      </w:r>
      <w:r w:rsidR="003E36F3">
        <w:rPr>
          <w:rFonts w:ascii="Verdana" w:hAnsi="Verdana" w:cs="Times New Roman"/>
          <w:b/>
        </w:rPr>
        <w:t>2025</w:t>
      </w:r>
      <w:r w:rsidR="003E36F3" w:rsidRPr="005C5FA0">
        <w:rPr>
          <w:rFonts w:ascii="Verdana" w:hAnsi="Verdana" w:cs="Times New Roman"/>
          <w:b/>
        </w:rPr>
        <w:t xml:space="preserve"> </w:t>
      </w:r>
      <w:r w:rsidR="000D4733" w:rsidRPr="005C5FA0">
        <w:rPr>
          <w:rFonts w:ascii="Verdana" w:hAnsi="Verdana" w:cs="Times New Roman"/>
          <w:b/>
        </w:rPr>
        <w:t>(</w:t>
      </w:r>
      <w:r w:rsidR="002B50BB">
        <w:rPr>
          <w:rFonts w:ascii="Verdana" w:hAnsi="Verdana" w:cs="Times New Roman"/>
          <w:b/>
        </w:rPr>
        <w:t>Version</w:t>
      </w:r>
      <w:r w:rsidR="002B50BB" w:rsidRPr="005C5FA0">
        <w:rPr>
          <w:rFonts w:ascii="Verdana" w:hAnsi="Verdana" w:cs="Times New Roman"/>
          <w:b/>
        </w:rPr>
        <w:t xml:space="preserve"> </w:t>
      </w:r>
      <w:r w:rsidR="003E36F3">
        <w:rPr>
          <w:rFonts w:ascii="Verdana" w:hAnsi="Verdana" w:cs="Times New Roman"/>
          <w:b/>
        </w:rPr>
        <w:t>8</w:t>
      </w:r>
      <w:r w:rsidR="000D4733" w:rsidRPr="005C5FA0">
        <w:rPr>
          <w:rFonts w:ascii="Verdana" w:hAnsi="Verdana" w:cs="Times New Roman"/>
          <w:b/>
        </w:rPr>
        <w:t>)</w:t>
      </w:r>
      <w:r w:rsidR="00773CBA" w:rsidRPr="005C5FA0">
        <w:rPr>
          <w:rFonts w:ascii="Verdana" w:hAnsi="Verdana" w:cs="Times New Roman"/>
          <w:b/>
        </w:rPr>
        <w:t>.</w:t>
      </w:r>
    </w:p>
    <w:p w14:paraId="645EA588" w14:textId="1D3516FF" w:rsidR="000D4733" w:rsidRPr="005C5FA0" w:rsidRDefault="000D4733" w:rsidP="000D4733">
      <w:pPr>
        <w:jc w:val="both"/>
        <w:rPr>
          <w:rFonts w:ascii="Verdana" w:hAnsi="Verdana" w:cs="Times New Roman"/>
        </w:rPr>
      </w:pPr>
      <w:r w:rsidRPr="005C5FA0">
        <w:rPr>
          <w:rFonts w:ascii="Verdana" w:hAnsi="Verdana" w:cs="Times New Roman"/>
        </w:rPr>
        <w:t>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s are not intended to address all areas of risk within an entity.  Instead, they are designed to address those areas that have resulted in the most frequent incidents of fraud, waste, or abuse of public funds.</w:t>
      </w:r>
      <w:r w:rsidR="005B4479">
        <w:rPr>
          <w:rFonts w:ascii="Verdana" w:hAnsi="Verdana" w:cs="Times New Roman"/>
        </w:rPr>
        <w:t xml:space="preserve"> </w:t>
      </w:r>
      <w:r w:rsidR="005B4479" w:rsidRPr="003D3A3E">
        <w:rPr>
          <w:rFonts w:ascii="Verdana" w:hAnsi="Verdana" w:cs="Times New Roman"/>
          <w:b/>
        </w:rPr>
        <w:t>The objective of the</w:t>
      </w:r>
      <w:r w:rsidR="002B50BB" w:rsidRPr="003D3A3E">
        <w:rPr>
          <w:rFonts w:ascii="Verdana" w:hAnsi="Verdana" w:cs="Times New Roman"/>
          <w:b/>
        </w:rPr>
        <w:t xml:space="preserve"> statewide</w:t>
      </w:r>
      <w:r w:rsidR="005B4479" w:rsidRPr="003D3A3E">
        <w:rPr>
          <w:rFonts w:ascii="Verdana" w:hAnsi="Verdana" w:cs="Times New Roman"/>
          <w:b/>
        </w:rPr>
        <w:t xml:space="preserve"> AUPs is to correct internal control processes of local entities in order to lessen their risks of fraud, waste, or abuse in the future.</w:t>
      </w:r>
    </w:p>
    <w:p w14:paraId="7C28387B" w14:textId="17467A8B" w:rsidR="00AE58DE" w:rsidRPr="005C5FA0" w:rsidRDefault="00AE58DE" w:rsidP="00E113EC">
      <w:pPr>
        <w:jc w:val="both"/>
        <w:rPr>
          <w:rFonts w:ascii="Verdana" w:hAnsi="Verdana" w:cs="Times New Roman"/>
        </w:rPr>
      </w:pPr>
      <w:r w:rsidRPr="005C5FA0">
        <w:rPr>
          <w:rFonts w:ascii="Verdana" w:hAnsi="Verdana" w:cs="Times New Roman"/>
        </w:rPr>
        <w:t>The</w:t>
      </w:r>
      <w:r w:rsidR="002B50BB">
        <w:rPr>
          <w:rFonts w:ascii="Verdana" w:hAnsi="Verdana" w:cs="Times New Roman"/>
        </w:rPr>
        <w:t xml:space="preserve"> </w:t>
      </w:r>
      <w:r w:rsidR="00BD1C86">
        <w:rPr>
          <w:rFonts w:ascii="Verdana" w:hAnsi="Verdana" w:cs="Times New Roman"/>
        </w:rPr>
        <w:t>AUP</w:t>
      </w:r>
      <w:r w:rsidRPr="005C5FA0">
        <w:rPr>
          <w:rFonts w:ascii="Verdana" w:hAnsi="Verdana" w:cs="Times New Roman"/>
        </w:rPr>
        <w:t>s are applicable to all fund types (governmental, proprietary, and fiduciary, including custodial funds administered by sheriffs or other tax collectors</w:t>
      </w:r>
      <w:r w:rsidR="000B0233" w:rsidRPr="005C5FA0">
        <w:rPr>
          <w:rFonts w:ascii="Verdana" w:hAnsi="Verdana" w:cs="Times New Roman"/>
        </w:rPr>
        <w:t>)</w:t>
      </w:r>
      <w:r w:rsidRPr="005C5FA0">
        <w:rPr>
          <w:rFonts w:ascii="Verdana" w:hAnsi="Verdana" w:cs="Times New Roman"/>
        </w:rPr>
        <w:t xml:space="preserve">. But see the </w:t>
      </w:r>
      <w:hyperlink w:anchor="EXEMPTION_SINGLE_AUDIT" w:history="1">
        <w:r w:rsidRPr="00813826">
          <w:rPr>
            <w:rStyle w:val="Hyperlink"/>
            <w:rFonts w:ascii="Verdana" w:hAnsi="Verdana" w:cs="Times New Roman"/>
          </w:rPr>
          <w:t>Single Audit</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 xml:space="preserve">and </w:t>
      </w:r>
      <w:hyperlink w:anchor="EXEMPTION_STUDENT_ACTIVITY_FUNDS" w:history="1">
        <w:r w:rsidRPr="00813826">
          <w:rPr>
            <w:rStyle w:val="Hyperlink"/>
            <w:rFonts w:ascii="Verdana" w:hAnsi="Verdana" w:cs="Times New Roman"/>
          </w:rPr>
          <w:t>School Activity Fund</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exemption sections following.</w:t>
      </w:r>
    </w:p>
    <w:p w14:paraId="062C7522" w14:textId="0991E0E2" w:rsidR="00BB7F88" w:rsidRDefault="00BB7F88" w:rsidP="00B26748">
      <w:pPr>
        <w:jc w:val="both"/>
        <w:rPr>
          <w:rFonts w:ascii="Verdana" w:hAnsi="Verdana" w:cs="Times New Roman"/>
          <w:b/>
          <w:i/>
          <w:u w:val="single"/>
        </w:rPr>
      </w:pPr>
      <w:bookmarkStart w:id="18" w:name="NEW"/>
      <w:bookmarkStart w:id="19" w:name="_Hlk88482457"/>
      <w:r>
        <w:rPr>
          <w:rFonts w:ascii="Verdana" w:hAnsi="Verdana" w:cs="Times New Roman"/>
          <w:b/>
          <w:i/>
          <w:u w:val="single"/>
        </w:rPr>
        <w:t>What</w:t>
      </w:r>
      <w:r w:rsidR="008A3A56">
        <w:rPr>
          <w:rFonts w:ascii="Verdana" w:hAnsi="Verdana" w:cs="Times New Roman"/>
          <w:b/>
          <w:i/>
          <w:u w:val="single"/>
        </w:rPr>
        <w:t>’</w:t>
      </w:r>
      <w:r>
        <w:rPr>
          <w:rFonts w:ascii="Verdana" w:hAnsi="Verdana" w:cs="Times New Roman"/>
          <w:b/>
          <w:i/>
          <w:u w:val="single"/>
        </w:rPr>
        <w:t>s New?</w:t>
      </w:r>
    </w:p>
    <w:p w14:paraId="0D25D4BF" w14:textId="77777777" w:rsidR="008C1EE9" w:rsidRPr="004B2D7B" w:rsidRDefault="00BB7F88">
      <w:pPr>
        <w:pStyle w:val="ListParagraph"/>
        <w:numPr>
          <w:ilvl w:val="1"/>
          <w:numId w:val="80"/>
        </w:numPr>
        <w:ind w:left="720"/>
        <w:jc w:val="both"/>
        <w:rPr>
          <w:rFonts w:ascii="Verdana" w:hAnsi="Verdana"/>
          <w:b/>
          <w:sz w:val="22"/>
          <w:szCs w:val="22"/>
        </w:rPr>
      </w:pPr>
      <w:r w:rsidRPr="004B2D7B">
        <w:rPr>
          <w:rFonts w:ascii="Verdana" w:hAnsi="Verdana"/>
          <w:b/>
          <w:sz w:val="22"/>
          <w:szCs w:val="22"/>
        </w:rPr>
        <w:t xml:space="preserve">2-Year Testing Cycle: </w:t>
      </w:r>
    </w:p>
    <w:p w14:paraId="058065E3" w14:textId="77777777" w:rsidR="008C1EE9" w:rsidRDefault="00CB7235" w:rsidP="00C441DF">
      <w:pPr>
        <w:pStyle w:val="ListParagraph"/>
        <w:numPr>
          <w:ilvl w:val="2"/>
          <w:numId w:val="84"/>
        </w:numPr>
        <w:ind w:left="1440"/>
        <w:jc w:val="both"/>
        <w:rPr>
          <w:rFonts w:ascii="Verdana" w:hAnsi="Verdana"/>
          <w:sz w:val="22"/>
          <w:szCs w:val="22"/>
        </w:rPr>
      </w:pPr>
      <w:r>
        <w:rPr>
          <w:rFonts w:ascii="Verdana" w:hAnsi="Verdana"/>
          <w:sz w:val="22"/>
          <w:szCs w:val="22"/>
        </w:rPr>
        <w:t>Clarified</w:t>
      </w:r>
      <w:r w:rsidR="00534473" w:rsidRPr="00C441DF">
        <w:rPr>
          <w:rFonts w:ascii="Verdana" w:hAnsi="Verdana"/>
          <w:sz w:val="22"/>
          <w:szCs w:val="22"/>
        </w:rPr>
        <w:t xml:space="preserve"> how to address sample selection for procedures that </w:t>
      </w:r>
      <w:r w:rsidR="009B3A6F" w:rsidRPr="00C441DF">
        <w:rPr>
          <w:rFonts w:ascii="Verdana" w:hAnsi="Verdana"/>
          <w:sz w:val="22"/>
          <w:szCs w:val="22"/>
        </w:rPr>
        <w:t>rely</w:t>
      </w:r>
      <w:r w:rsidR="00534473" w:rsidRPr="00C441DF">
        <w:rPr>
          <w:rFonts w:ascii="Verdana" w:hAnsi="Verdana"/>
          <w:sz w:val="22"/>
          <w:szCs w:val="22"/>
        </w:rPr>
        <w:t xml:space="preserve"> on</w:t>
      </w:r>
      <w:r w:rsidR="009B3A6F" w:rsidRPr="00C441DF">
        <w:rPr>
          <w:rFonts w:ascii="Verdana" w:hAnsi="Verdana"/>
          <w:sz w:val="22"/>
          <w:szCs w:val="22"/>
        </w:rPr>
        <w:t xml:space="preserve"> employees selected</w:t>
      </w:r>
      <w:r w:rsidR="00534473" w:rsidRPr="00C441DF">
        <w:rPr>
          <w:rFonts w:ascii="Verdana" w:hAnsi="Verdana"/>
          <w:sz w:val="22"/>
          <w:szCs w:val="22"/>
        </w:rPr>
        <w:t xml:space="preserve"> in the Payroll and Personnel </w:t>
      </w:r>
      <w:r w:rsidR="009B3A6F" w:rsidRPr="00C441DF">
        <w:rPr>
          <w:rFonts w:ascii="Verdana" w:hAnsi="Verdana"/>
          <w:sz w:val="22"/>
          <w:szCs w:val="22"/>
        </w:rPr>
        <w:t>p</w:t>
      </w:r>
      <w:r w:rsidR="00534473" w:rsidRPr="00C441DF">
        <w:rPr>
          <w:rFonts w:ascii="Verdana" w:hAnsi="Verdana"/>
          <w:sz w:val="22"/>
          <w:szCs w:val="22"/>
        </w:rPr>
        <w:t xml:space="preserve">rocedure when that procedure is not tested in </w:t>
      </w:r>
      <w:r w:rsidR="00AB2338">
        <w:rPr>
          <w:rFonts w:ascii="Verdana" w:hAnsi="Verdana"/>
          <w:sz w:val="22"/>
          <w:szCs w:val="22"/>
        </w:rPr>
        <w:t>Y</w:t>
      </w:r>
      <w:r w:rsidR="00534473" w:rsidRPr="00C441DF">
        <w:rPr>
          <w:rFonts w:ascii="Verdana" w:hAnsi="Verdana"/>
          <w:sz w:val="22"/>
          <w:szCs w:val="22"/>
        </w:rPr>
        <w:t xml:space="preserve">ear 2. </w:t>
      </w:r>
    </w:p>
    <w:p w14:paraId="392FF0FD" w14:textId="7F5F48FF" w:rsidR="00BB7F88" w:rsidRPr="00C441DF" w:rsidRDefault="008C1EE9" w:rsidP="00C441DF">
      <w:pPr>
        <w:pStyle w:val="ListParagraph"/>
        <w:numPr>
          <w:ilvl w:val="2"/>
          <w:numId w:val="84"/>
        </w:numPr>
        <w:ind w:left="1440"/>
        <w:jc w:val="both"/>
        <w:rPr>
          <w:rFonts w:ascii="Verdana" w:hAnsi="Verdana"/>
          <w:sz w:val="22"/>
          <w:szCs w:val="22"/>
        </w:rPr>
      </w:pPr>
      <w:r>
        <w:rPr>
          <w:rFonts w:ascii="Verdana" w:hAnsi="Verdana"/>
          <w:sz w:val="22"/>
          <w:szCs w:val="22"/>
        </w:rPr>
        <w:t xml:space="preserve">Also, added language addressing the use of an addendum to an approved engagement agreement when Year 2 testing is reduced from what was included in the approved engagement. </w:t>
      </w:r>
    </w:p>
    <w:p w14:paraId="6B16A3AE" w14:textId="4CCF3E99" w:rsidR="00F84359" w:rsidRPr="00610503" w:rsidRDefault="00F84359" w:rsidP="00F84359">
      <w:pPr>
        <w:pStyle w:val="ListParagraph"/>
        <w:numPr>
          <w:ilvl w:val="1"/>
          <w:numId w:val="80"/>
        </w:numPr>
        <w:ind w:left="720"/>
        <w:jc w:val="both"/>
        <w:rPr>
          <w:rFonts w:ascii="Verdana" w:hAnsi="Verdana"/>
          <w:sz w:val="22"/>
          <w:szCs w:val="22"/>
        </w:rPr>
      </w:pPr>
      <w:r w:rsidRPr="004B2D7B">
        <w:rPr>
          <w:rFonts w:ascii="Verdana" w:hAnsi="Verdana"/>
          <w:b/>
          <w:sz w:val="22"/>
          <w:szCs w:val="22"/>
        </w:rPr>
        <w:t>Instructions:</w:t>
      </w:r>
      <w:r w:rsidRPr="00610503">
        <w:rPr>
          <w:rFonts w:ascii="Verdana" w:hAnsi="Verdana"/>
          <w:sz w:val="22"/>
          <w:szCs w:val="22"/>
        </w:rPr>
        <w:t xml:space="preserve"> </w:t>
      </w:r>
      <w:r w:rsidR="00610503">
        <w:rPr>
          <w:rFonts w:ascii="Verdana" w:hAnsi="Verdana"/>
          <w:sz w:val="22"/>
          <w:szCs w:val="22"/>
        </w:rPr>
        <w:t>To better align with SSAE 19 we no longer allow the use</w:t>
      </w:r>
      <w:r w:rsidR="002D28DD" w:rsidRPr="00610503">
        <w:rPr>
          <w:rFonts w:ascii="Verdana" w:hAnsi="Verdana"/>
          <w:sz w:val="22"/>
          <w:szCs w:val="22"/>
        </w:rPr>
        <w:t xml:space="preserve"> of</w:t>
      </w:r>
      <w:r w:rsidRPr="00610503">
        <w:rPr>
          <w:rFonts w:ascii="Verdana" w:hAnsi="Verdana"/>
          <w:sz w:val="22"/>
          <w:szCs w:val="22"/>
        </w:rPr>
        <w:t xml:space="preserve"> an internal auditor when performing the agreed-upon procedures. All procedures must be performed by the external auditor. </w:t>
      </w:r>
    </w:p>
    <w:p w14:paraId="41AB4718" w14:textId="3C4711A8" w:rsidR="00BB7F88" w:rsidRPr="00C441DF" w:rsidRDefault="00534473" w:rsidP="00C441DF">
      <w:pPr>
        <w:pStyle w:val="ListParagraph"/>
        <w:numPr>
          <w:ilvl w:val="1"/>
          <w:numId w:val="80"/>
        </w:numPr>
        <w:ind w:left="720"/>
        <w:jc w:val="both"/>
        <w:rPr>
          <w:rFonts w:ascii="Verdana" w:hAnsi="Verdana"/>
          <w:sz w:val="22"/>
          <w:szCs w:val="22"/>
        </w:rPr>
      </w:pPr>
      <w:r w:rsidRPr="004B2D7B">
        <w:rPr>
          <w:rFonts w:ascii="Verdana" w:hAnsi="Verdana"/>
          <w:b/>
          <w:sz w:val="22"/>
          <w:szCs w:val="22"/>
        </w:rPr>
        <w:t>Special Considerations for</w:t>
      </w:r>
      <w:r w:rsidR="00BB7F88" w:rsidRPr="004B2D7B">
        <w:rPr>
          <w:rFonts w:ascii="Verdana" w:hAnsi="Verdana"/>
          <w:b/>
          <w:sz w:val="22"/>
          <w:szCs w:val="22"/>
        </w:rPr>
        <w:t xml:space="preserve"> Charter Schools</w:t>
      </w:r>
      <w:r w:rsidRPr="004B2D7B">
        <w:rPr>
          <w:rFonts w:ascii="Verdana" w:hAnsi="Verdana"/>
          <w:b/>
          <w:sz w:val="22"/>
          <w:szCs w:val="22"/>
        </w:rPr>
        <w:t>:</w:t>
      </w:r>
      <w:r w:rsidRPr="00C441DF">
        <w:rPr>
          <w:rFonts w:ascii="Verdana" w:hAnsi="Verdana"/>
          <w:sz w:val="22"/>
          <w:szCs w:val="22"/>
        </w:rPr>
        <w:t xml:space="preserve"> Added </w:t>
      </w:r>
      <w:r w:rsidR="009B3A6F" w:rsidRPr="00C441DF">
        <w:rPr>
          <w:rFonts w:ascii="Verdana" w:hAnsi="Verdana"/>
          <w:sz w:val="22"/>
          <w:szCs w:val="22"/>
        </w:rPr>
        <w:t>a section in the instructions</w:t>
      </w:r>
      <w:r w:rsidR="00D01879" w:rsidRPr="00C441DF">
        <w:rPr>
          <w:rFonts w:ascii="Verdana" w:hAnsi="Verdana"/>
          <w:sz w:val="22"/>
          <w:szCs w:val="22"/>
        </w:rPr>
        <w:t xml:space="preserve"> to address testing performed for </w:t>
      </w:r>
      <w:r w:rsidRPr="00C441DF">
        <w:rPr>
          <w:rFonts w:ascii="Verdana" w:hAnsi="Verdana"/>
          <w:sz w:val="22"/>
          <w:szCs w:val="22"/>
        </w:rPr>
        <w:t xml:space="preserve">charter schools, recognizing that some may share </w:t>
      </w:r>
      <w:r w:rsidR="00AB2338">
        <w:rPr>
          <w:rFonts w:ascii="Verdana" w:hAnsi="Verdana"/>
          <w:sz w:val="22"/>
          <w:szCs w:val="22"/>
        </w:rPr>
        <w:t xml:space="preserve">a centralized </w:t>
      </w:r>
      <w:r w:rsidRPr="00C441DF">
        <w:rPr>
          <w:rFonts w:ascii="Verdana" w:hAnsi="Verdana"/>
          <w:sz w:val="22"/>
          <w:szCs w:val="22"/>
        </w:rPr>
        <w:t xml:space="preserve">business office. </w:t>
      </w:r>
    </w:p>
    <w:p w14:paraId="0D5B69D6" w14:textId="1387BA20" w:rsidR="00BB7F88" w:rsidRDefault="00BB7F88">
      <w:pPr>
        <w:pStyle w:val="ListParagraph"/>
        <w:numPr>
          <w:ilvl w:val="1"/>
          <w:numId w:val="80"/>
        </w:numPr>
        <w:ind w:left="720"/>
        <w:jc w:val="both"/>
        <w:rPr>
          <w:rFonts w:ascii="Verdana" w:hAnsi="Verdana"/>
          <w:sz w:val="22"/>
          <w:szCs w:val="22"/>
        </w:rPr>
      </w:pPr>
      <w:r w:rsidRPr="004B2D7B">
        <w:rPr>
          <w:rFonts w:ascii="Verdana" w:hAnsi="Verdana"/>
          <w:b/>
          <w:sz w:val="22"/>
          <w:szCs w:val="22"/>
        </w:rPr>
        <w:lastRenderedPageBreak/>
        <w:t xml:space="preserve">Procedure 6 (Credit Cards/Debit Cards/Fuel Cards/Purchase Cards (Cards)): </w:t>
      </w:r>
      <w:r w:rsidRPr="00C441DF">
        <w:rPr>
          <w:rFonts w:ascii="Verdana" w:hAnsi="Verdana"/>
          <w:sz w:val="22"/>
          <w:szCs w:val="22"/>
        </w:rPr>
        <w:t xml:space="preserve">Added </w:t>
      </w:r>
      <w:r w:rsidR="00D01879" w:rsidRPr="00C441DF">
        <w:rPr>
          <w:rFonts w:ascii="Verdana" w:hAnsi="Verdana"/>
          <w:sz w:val="22"/>
          <w:szCs w:val="22"/>
        </w:rPr>
        <w:t>a test to</w:t>
      </w:r>
      <w:r w:rsidRPr="00C441DF">
        <w:rPr>
          <w:rFonts w:ascii="Verdana" w:hAnsi="Verdana"/>
          <w:sz w:val="22"/>
          <w:szCs w:val="22"/>
        </w:rPr>
        <w:t xml:space="preserve"> </w:t>
      </w:r>
      <w:r w:rsidR="00F2115C">
        <w:rPr>
          <w:rFonts w:ascii="Verdana" w:hAnsi="Verdana"/>
          <w:sz w:val="22"/>
          <w:szCs w:val="22"/>
        </w:rPr>
        <w:t>obtain evidence</w:t>
      </w:r>
      <w:r w:rsidR="00534473" w:rsidRPr="00C441DF">
        <w:rPr>
          <w:rFonts w:ascii="Verdana" w:hAnsi="Verdana"/>
          <w:sz w:val="22"/>
          <w:szCs w:val="22"/>
        </w:rPr>
        <w:t xml:space="preserve"> that cards </w:t>
      </w:r>
      <w:r w:rsidR="00610503">
        <w:rPr>
          <w:rFonts w:ascii="Verdana" w:hAnsi="Verdana"/>
          <w:sz w:val="22"/>
          <w:szCs w:val="22"/>
        </w:rPr>
        <w:t xml:space="preserve">are deactivated when an employee is terminated. </w:t>
      </w:r>
    </w:p>
    <w:p w14:paraId="58FC27E1" w14:textId="77777777" w:rsidR="004A1328" w:rsidRDefault="004A1328" w:rsidP="004A1328">
      <w:pPr>
        <w:pStyle w:val="ListParagraph"/>
        <w:jc w:val="both"/>
        <w:rPr>
          <w:rFonts w:ascii="Verdana" w:hAnsi="Verdana"/>
          <w:sz w:val="22"/>
          <w:szCs w:val="22"/>
        </w:rPr>
      </w:pPr>
    </w:p>
    <w:p w14:paraId="5D4A435E" w14:textId="48BF5C91" w:rsidR="00B26748" w:rsidRDefault="003E36F3" w:rsidP="00B26748">
      <w:pPr>
        <w:jc w:val="both"/>
        <w:rPr>
          <w:rFonts w:ascii="Verdana" w:hAnsi="Verdana" w:cs="Times New Roman"/>
          <w:i/>
          <w:u w:val="single"/>
        </w:rPr>
      </w:pPr>
      <w:bookmarkStart w:id="20" w:name="TwoYearTestingCycle"/>
      <w:bookmarkEnd w:id="18"/>
      <w:bookmarkEnd w:id="20"/>
      <w:r>
        <w:rPr>
          <w:rFonts w:ascii="Verdana" w:hAnsi="Verdana" w:cs="Times New Roman"/>
          <w:b/>
          <w:i/>
          <w:u w:val="single"/>
        </w:rPr>
        <w:t>Two-Year Testing Cycle</w:t>
      </w:r>
    </w:p>
    <w:p w14:paraId="19E1124E" w14:textId="1FE3C531" w:rsidR="004447F9" w:rsidRPr="008141E0" w:rsidRDefault="00F74769" w:rsidP="00F5540B">
      <w:pPr>
        <w:pStyle w:val="ListParagraph"/>
        <w:numPr>
          <w:ilvl w:val="1"/>
          <w:numId w:val="80"/>
        </w:numPr>
        <w:ind w:left="720"/>
        <w:jc w:val="both"/>
        <w:rPr>
          <w:rFonts w:ascii="Verdana" w:hAnsi="Verdana"/>
          <w:sz w:val="22"/>
          <w:szCs w:val="22"/>
        </w:rPr>
      </w:pPr>
      <w:r w:rsidRPr="008141E0">
        <w:rPr>
          <w:rFonts w:ascii="Verdana" w:hAnsi="Verdana"/>
          <w:sz w:val="22"/>
          <w:szCs w:val="22"/>
        </w:rPr>
        <w:t xml:space="preserve">Agencies now have the opportunity to undergo reduced SAUP testing every </w:t>
      </w:r>
      <w:r w:rsidR="00DC32E3">
        <w:rPr>
          <w:rFonts w:ascii="Verdana" w:hAnsi="Verdana"/>
          <w:sz w:val="22"/>
          <w:szCs w:val="22"/>
        </w:rPr>
        <w:t>other year</w:t>
      </w:r>
      <w:r w:rsidRPr="008141E0">
        <w:rPr>
          <w:rFonts w:ascii="Verdana" w:hAnsi="Verdana"/>
          <w:sz w:val="22"/>
          <w:szCs w:val="22"/>
        </w:rPr>
        <w:t xml:space="preserve">. </w:t>
      </w:r>
      <w:r w:rsidR="004447F9" w:rsidRPr="008141E0">
        <w:rPr>
          <w:rFonts w:ascii="Verdana" w:hAnsi="Verdana"/>
          <w:sz w:val="22"/>
          <w:szCs w:val="22"/>
        </w:rPr>
        <w:t xml:space="preserve"> </w:t>
      </w:r>
      <w:r w:rsidR="004F6ADC" w:rsidRPr="008141E0">
        <w:rPr>
          <w:rFonts w:ascii="Verdana" w:hAnsi="Verdana"/>
          <w:sz w:val="22"/>
          <w:szCs w:val="22"/>
        </w:rPr>
        <w:t xml:space="preserve">Eligibility for this </w:t>
      </w:r>
      <w:r w:rsidRPr="008141E0">
        <w:rPr>
          <w:rFonts w:ascii="Verdana" w:hAnsi="Verdana"/>
          <w:sz w:val="22"/>
          <w:szCs w:val="22"/>
        </w:rPr>
        <w:t>reduced</w:t>
      </w:r>
      <w:r w:rsidR="004F6ADC" w:rsidRPr="008141E0">
        <w:rPr>
          <w:rFonts w:ascii="Verdana" w:hAnsi="Verdana"/>
          <w:sz w:val="22"/>
          <w:szCs w:val="22"/>
        </w:rPr>
        <w:t xml:space="preserve"> testing </w:t>
      </w:r>
      <w:r w:rsidR="00F2115C">
        <w:rPr>
          <w:rFonts w:ascii="Verdana" w:hAnsi="Verdana"/>
          <w:sz w:val="22"/>
          <w:szCs w:val="22"/>
        </w:rPr>
        <w:t>is</w:t>
      </w:r>
      <w:r w:rsidR="004F6ADC" w:rsidRPr="008141E0">
        <w:rPr>
          <w:rFonts w:ascii="Verdana" w:hAnsi="Verdana"/>
          <w:sz w:val="22"/>
          <w:szCs w:val="22"/>
        </w:rPr>
        <w:t xml:space="preserve"> based on </w:t>
      </w:r>
      <w:r w:rsidR="004F4ADE">
        <w:rPr>
          <w:rFonts w:ascii="Verdana" w:hAnsi="Verdana"/>
          <w:sz w:val="22"/>
          <w:szCs w:val="22"/>
        </w:rPr>
        <w:t xml:space="preserve">meeting </w:t>
      </w:r>
      <w:r w:rsidR="004F6ADC" w:rsidRPr="008141E0">
        <w:rPr>
          <w:rFonts w:ascii="Verdana" w:hAnsi="Verdana"/>
          <w:sz w:val="22"/>
          <w:szCs w:val="22"/>
        </w:rPr>
        <w:t>the following two criteria:</w:t>
      </w:r>
      <w:r w:rsidR="004447F9" w:rsidRPr="008141E0">
        <w:rPr>
          <w:rFonts w:ascii="Verdana" w:hAnsi="Verdana"/>
          <w:sz w:val="22"/>
          <w:szCs w:val="22"/>
        </w:rPr>
        <w:t xml:space="preserve"> </w:t>
      </w:r>
    </w:p>
    <w:p w14:paraId="33F2F52C" w14:textId="77777777" w:rsidR="004447F9" w:rsidRPr="00F74769" w:rsidRDefault="004447F9" w:rsidP="00F5540B">
      <w:pPr>
        <w:pStyle w:val="ListParagraph"/>
        <w:numPr>
          <w:ilvl w:val="1"/>
          <w:numId w:val="80"/>
        </w:numPr>
        <w:shd w:val="clear" w:color="auto" w:fill="FFFFFF"/>
        <w:spacing w:before="100" w:beforeAutospacing="1" w:after="100" w:afterAutospacing="1"/>
        <w:rPr>
          <w:rFonts w:ascii="Verdana" w:hAnsi="Verdana" w:cs="Arial"/>
          <w:color w:val="1F1F1F"/>
          <w:sz w:val="22"/>
          <w:szCs w:val="22"/>
        </w:rPr>
      </w:pPr>
      <w:r w:rsidRPr="00F74769">
        <w:rPr>
          <w:rFonts w:ascii="Verdana" w:hAnsi="Verdana" w:cs="Arial"/>
          <w:color w:val="1F1F1F"/>
          <w:sz w:val="22"/>
          <w:szCs w:val="22"/>
        </w:rPr>
        <w:t xml:space="preserve">Timely submission of the Year 1 audit, </w:t>
      </w:r>
      <w:r w:rsidRPr="00F74769">
        <w:rPr>
          <w:rFonts w:ascii="Verdana" w:hAnsi="Verdana" w:cs="Arial"/>
          <w:b/>
          <w:color w:val="1F1F1F"/>
          <w:sz w:val="22"/>
          <w:szCs w:val="22"/>
        </w:rPr>
        <w:t>and</w:t>
      </w:r>
      <w:r w:rsidRPr="00F74769">
        <w:rPr>
          <w:rFonts w:ascii="Verdana" w:hAnsi="Verdana" w:cs="Arial"/>
          <w:color w:val="1F1F1F"/>
          <w:sz w:val="22"/>
          <w:szCs w:val="22"/>
        </w:rPr>
        <w:t xml:space="preserve"> </w:t>
      </w:r>
    </w:p>
    <w:p w14:paraId="0AB45FDF" w14:textId="72FF707B" w:rsidR="004447F9" w:rsidRPr="00F74769" w:rsidRDefault="00F74769" w:rsidP="00F5540B">
      <w:pPr>
        <w:pStyle w:val="ListParagraph"/>
        <w:numPr>
          <w:ilvl w:val="1"/>
          <w:numId w:val="80"/>
        </w:numPr>
        <w:shd w:val="clear" w:color="auto" w:fill="FFFFFF"/>
        <w:spacing w:before="100" w:beforeAutospacing="1" w:after="100" w:afterAutospacing="1"/>
        <w:rPr>
          <w:rFonts w:ascii="Verdana" w:hAnsi="Verdana" w:cs="Arial"/>
          <w:color w:val="1F1F1F"/>
          <w:sz w:val="22"/>
          <w:szCs w:val="22"/>
        </w:rPr>
      </w:pPr>
      <w:r w:rsidRPr="00F74769">
        <w:rPr>
          <w:rFonts w:ascii="Verdana" w:hAnsi="Verdana" w:cs="Arial"/>
          <w:color w:val="1F1F1F"/>
          <w:sz w:val="22"/>
          <w:szCs w:val="22"/>
        </w:rPr>
        <w:t xml:space="preserve">At least one category in Year 1 must have no exceptions, as </w:t>
      </w:r>
      <w:r w:rsidR="00CA5079">
        <w:rPr>
          <w:rFonts w:ascii="Verdana" w:hAnsi="Verdana" w:cs="Arial"/>
          <w:color w:val="1F1F1F"/>
          <w:sz w:val="22"/>
          <w:szCs w:val="22"/>
        </w:rPr>
        <w:t xml:space="preserve">only </w:t>
      </w:r>
      <w:r w:rsidRPr="00F74769">
        <w:rPr>
          <w:rFonts w:ascii="Verdana" w:hAnsi="Verdana" w:cs="Arial"/>
          <w:color w:val="1F1F1F"/>
          <w:sz w:val="22"/>
          <w:szCs w:val="22"/>
        </w:rPr>
        <w:t>categories with exceptions will need to be retested in Year 2</w:t>
      </w:r>
      <w:r w:rsidR="004447F9" w:rsidRPr="00F74769">
        <w:rPr>
          <w:rFonts w:ascii="Verdana" w:hAnsi="Verdana" w:cs="Arial"/>
          <w:color w:val="1F1F1F"/>
          <w:sz w:val="22"/>
          <w:szCs w:val="22"/>
        </w:rPr>
        <w:t xml:space="preserve">. </w:t>
      </w:r>
    </w:p>
    <w:p w14:paraId="588F7300" w14:textId="2850A5DC" w:rsidR="00A07286" w:rsidRPr="008141E0" w:rsidRDefault="00F2115C" w:rsidP="00A07286">
      <w:pPr>
        <w:shd w:val="clear" w:color="auto" w:fill="FFFFFF"/>
        <w:spacing w:before="100" w:beforeAutospacing="1" w:after="100" w:afterAutospacing="1" w:line="240" w:lineRule="auto"/>
        <w:ind w:left="720"/>
        <w:contextualSpacing/>
        <w:rPr>
          <w:rFonts w:ascii="Verdana" w:eastAsia="Times New Roman" w:hAnsi="Verdana" w:cs="Arial"/>
          <w:b/>
          <w:bCs/>
          <w:color w:val="1F1F1F"/>
        </w:rPr>
      </w:pPr>
      <w:r w:rsidRPr="00F2115C">
        <w:rPr>
          <w:rFonts w:ascii="Verdana" w:hAnsi="Verdana"/>
        </w:rPr>
        <w:t>This policy provides for a 2-year testing cycle, consisting of Year 1 and Year 2, with Year 1 serving as the baseline for determining the extent of testing required in Year 2.</w:t>
      </w:r>
      <w:r w:rsidR="00426162" w:rsidRPr="00426162">
        <w:rPr>
          <w:rFonts w:ascii="Verdana" w:hAnsi="Verdana"/>
        </w:rPr>
        <w:t xml:space="preserve"> During Year 1, all SAUP categories </w:t>
      </w:r>
      <w:r>
        <w:rPr>
          <w:rFonts w:ascii="Verdana" w:hAnsi="Verdana"/>
        </w:rPr>
        <w:t>are</w:t>
      </w:r>
      <w:r w:rsidR="00426162" w:rsidRPr="00426162">
        <w:rPr>
          <w:rFonts w:ascii="Verdana" w:hAnsi="Verdana"/>
        </w:rPr>
        <w:t xml:space="preserve"> tested for agencies required to undergo an audit. In Year 2, only the SAUP categories with exceptions in Year 1 </w:t>
      </w:r>
      <w:r>
        <w:rPr>
          <w:rFonts w:ascii="Verdana" w:hAnsi="Verdana"/>
        </w:rPr>
        <w:t>are</w:t>
      </w:r>
      <w:r w:rsidR="00426162" w:rsidRPr="00426162">
        <w:rPr>
          <w:rFonts w:ascii="Verdana" w:hAnsi="Verdana"/>
        </w:rPr>
        <w:t xml:space="preserve"> retested, provided the Year 1 audit report is submitted by the statutory deadline (or </w:t>
      </w:r>
      <w:r w:rsidR="00426162" w:rsidRPr="004B5005">
        <w:rPr>
          <w:rFonts w:ascii="Verdana" w:hAnsi="Verdana"/>
          <w:b/>
        </w:rPr>
        <w:t>emergency extension</w:t>
      </w:r>
      <w:r w:rsidR="004B5005">
        <w:rPr>
          <w:rStyle w:val="FootnoteReference"/>
          <w:rFonts w:ascii="Verdana" w:hAnsi="Verdana"/>
        </w:rPr>
        <w:footnoteReference w:id="3"/>
      </w:r>
      <w:r w:rsidR="00426162" w:rsidRPr="00426162">
        <w:rPr>
          <w:rFonts w:ascii="Verdana" w:hAnsi="Verdana"/>
        </w:rPr>
        <w:t xml:space="preserve">, if applicable). </w:t>
      </w:r>
      <w:r w:rsidRPr="00F2115C">
        <w:rPr>
          <w:rFonts w:ascii="Verdana" w:hAnsi="Verdana"/>
        </w:rPr>
        <w:t>Fiscal years beginning in 2025 will mark the start of the second Year 1, and fiscal years beginning in 2026 will be the second Year 2.</w:t>
      </w:r>
    </w:p>
    <w:p w14:paraId="1D8869B4" w14:textId="13482C67" w:rsidR="006C7359" w:rsidRPr="008141E0" w:rsidRDefault="00F2115C" w:rsidP="00F5540B">
      <w:pPr>
        <w:shd w:val="clear" w:color="auto" w:fill="FFFFFF"/>
        <w:spacing w:before="100" w:beforeAutospacing="1" w:after="100" w:afterAutospacing="1" w:line="240" w:lineRule="auto"/>
        <w:ind w:left="720"/>
        <w:contextualSpacing/>
        <w:rPr>
          <w:rFonts w:ascii="Verdana" w:eastAsia="Times New Roman" w:hAnsi="Verdana" w:cs="Arial"/>
          <w:color w:val="1F1F1F"/>
        </w:rPr>
      </w:pPr>
      <w:r>
        <w:rPr>
          <w:rFonts w:ascii="Verdana" w:eastAsia="Times New Roman" w:hAnsi="Verdana" w:cs="Arial"/>
          <w:color w:val="1F1F1F"/>
        </w:rPr>
        <w:t xml:space="preserve">This </w:t>
      </w:r>
      <w:r w:rsidR="00466E03" w:rsidRPr="008141E0">
        <w:rPr>
          <w:rFonts w:ascii="Verdana" w:eastAsia="Times New Roman" w:hAnsi="Verdana" w:cs="Arial"/>
          <w:color w:val="1F1F1F"/>
        </w:rPr>
        <w:t xml:space="preserve">policy </w:t>
      </w:r>
      <w:r w:rsidR="00234396" w:rsidRPr="008141E0">
        <w:rPr>
          <w:rFonts w:ascii="Verdana" w:eastAsia="Times New Roman" w:hAnsi="Verdana" w:cs="Arial"/>
          <w:color w:val="1F1F1F"/>
        </w:rPr>
        <w:t>operate</w:t>
      </w:r>
      <w:r>
        <w:rPr>
          <w:rFonts w:ascii="Verdana" w:eastAsia="Times New Roman" w:hAnsi="Verdana" w:cs="Arial"/>
          <w:color w:val="1F1F1F"/>
        </w:rPr>
        <w:t>s</w:t>
      </w:r>
      <w:r w:rsidR="00466E03" w:rsidRPr="008141E0">
        <w:rPr>
          <w:rFonts w:ascii="Verdana" w:eastAsia="Times New Roman" w:hAnsi="Verdana" w:cs="Arial"/>
          <w:color w:val="1F1F1F"/>
        </w:rPr>
        <w:t xml:space="preserve"> as follows: </w:t>
      </w:r>
    </w:p>
    <w:p w14:paraId="09BCA190" w14:textId="77777777" w:rsidR="00466E03" w:rsidRPr="008141E0" w:rsidRDefault="00466E03" w:rsidP="00970AF8">
      <w:pPr>
        <w:shd w:val="clear" w:color="auto" w:fill="FFFFFF"/>
        <w:spacing w:before="100" w:beforeAutospacing="1" w:after="100" w:afterAutospacing="1" w:line="240" w:lineRule="auto"/>
        <w:contextualSpacing/>
        <w:rPr>
          <w:rFonts w:ascii="Verdana" w:eastAsia="Times New Roman" w:hAnsi="Verdana" w:cs="Arial"/>
          <w:color w:val="1F1F1F"/>
        </w:rPr>
      </w:pPr>
    </w:p>
    <w:p w14:paraId="7656F9E5" w14:textId="18FFB874" w:rsidR="00970AF8" w:rsidRPr="008141E0" w:rsidRDefault="00970AF8" w:rsidP="00F5540B">
      <w:pPr>
        <w:shd w:val="clear" w:color="auto" w:fill="FFFFFF"/>
        <w:spacing w:before="100" w:beforeAutospacing="1" w:after="100" w:afterAutospacing="1" w:line="240" w:lineRule="auto"/>
        <w:ind w:left="720"/>
        <w:rPr>
          <w:rFonts w:ascii="Verdana" w:eastAsia="Times New Roman" w:hAnsi="Verdana" w:cs="Arial"/>
          <w:color w:val="1F1F1F"/>
        </w:rPr>
      </w:pPr>
      <w:r w:rsidRPr="008141E0">
        <w:rPr>
          <w:rFonts w:ascii="Verdana" w:eastAsia="Times New Roman" w:hAnsi="Verdana" w:cs="Arial"/>
          <w:b/>
          <w:bCs/>
          <w:color w:val="1F1F1F"/>
        </w:rPr>
        <w:t>Year 1:</w:t>
      </w:r>
    </w:p>
    <w:p w14:paraId="01BDBA69" w14:textId="2538DD13" w:rsidR="00970AF8" w:rsidRPr="008141E0" w:rsidRDefault="00970AF8" w:rsidP="00F5540B">
      <w:pPr>
        <w:numPr>
          <w:ilvl w:val="0"/>
          <w:numId w:val="78"/>
        </w:numPr>
        <w:shd w:val="clear" w:color="auto" w:fill="FFFFFF"/>
        <w:tabs>
          <w:tab w:val="num" w:pos="1080"/>
        </w:tabs>
        <w:spacing w:before="100" w:beforeAutospacing="1" w:after="0" w:line="240" w:lineRule="auto"/>
        <w:ind w:left="1080"/>
        <w:rPr>
          <w:rFonts w:ascii="Verdana" w:eastAsia="Times New Roman" w:hAnsi="Verdana" w:cs="Arial"/>
          <w:color w:val="1F1F1F"/>
        </w:rPr>
      </w:pPr>
      <w:r w:rsidRPr="008141E0">
        <w:rPr>
          <w:rFonts w:ascii="Verdana" w:eastAsia="Times New Roman" w:hAnsi="Verdana" w:cs="Arial"/>
          <w:color w:val="1F1F1F"/>
        </w:rPr>
        <w:t>All 14 SAUP</w:t>
      </w:r>
      <w:r w:rsidR="00234396" w:rsidRPr="008141E0">
        <w:rPr>
          <w:rFonts w:ascii="Verdana" w:eastAsia="Times New Roman" w:hAnsi="Verdana" w:cs="Arial"/>
          <w:color w:val="1F1F1F"/>
        </w:rPr>
        <w:t xml:space="preserve"> categories will be </w:t>
      </w:r>
      <w:r w:rsidRPr="008141E0">
        <w:rPr>
          <w:rFonts w:ascii="Verdana" w:eastAsia="Times New Roman" w:hAnsi="Verdana" w:cs="Arial"/>
          <w:color w:val="1F1F1F"/>
        </w:rPr>
        <w:t xml:space="preserve">tested at every agency required to submit an audit to </w:t>
      </w:r>
      <w:r w:rsidR="006524FB">
        <w:rPr>
          <w:rFonts w:ascii="Verdana" w:eastAsia="Times New Roman" w:hAnsi="Verdana" w:cs="Arial"/>
          <w:color w:val="1F1F1F"/>
        </w:rPr>
        <w:t>the LLA</w:t>
      </w:r>
      <w:r w:rsidRPr="008141E0">
        <w:rPr>
          <w:rFonts w:ascii="Verdana" w:eastAsia="Times New Roman" w:hAnsi="Verdana" w:cs="Arial"/>
          <w:color w:val="1F1F1F"/>
        </w:rPr>
        <w:t xml:space="preserve">. </w:t>
      </w:r>
    </w:p>
    <w:p w14:paraId="61A9948A" w14:textId="4A31EE35" w:rsidR="00970AF8" w:rsidRPr="00340B3A" w:rsidRDefault="00970AF8" w:rsidP="00F5540B">
      <w:pPr>
        <w:shd w:val="clear" w:color="auto" w:fill="FFFFFF"/>
        <w:spacing w:before="100" w:beforeAutospacing="1" w:after="100" w:afterAutospacing="1" w:line="240" w:lineRule="auto"/>
        <w:ind w:left="720"/>
        <w:rPr>
          <w:rFonts w:ascii="Verdana" w:eastAsia="Times New Roman" w:hAnsi="Verdana" w:cs="Arial"/>
          <w:color w:val="1F1F1F"/>
        </w:rPr>
      </w:pPr>
      <w:r w:rsidRPr="00340B3A">
        <w:rPr>
          <w:rFonts w:ascii="Verdana" w:eastAsia="Times New Roman" w:hAnsi="Verdana" w:cs="Arial"/>
          <w:b/>
          <w:bCs/>
          <w:color w:val="1F1F1F"/>
        </w:rPr>
        <w:t>Year 2:</w:t>
      </w:r>
    </w:p>
    <w:p w14:paraId="309F88FB" w14:textId="56B3B7C5" w:rsidR="00562721" w:rsidRDefault="00DF69CE" w:rsidP="00F5540B">
      <w:pPr>
        <w:numPr>
          <w:ilvl w:val="0"/>
          <w:numId w:val="79"/>
        </w:numPr>
        <w:shd w:val="clear" w:color="auto" w:fill="FFFFFF"/>
        <w:tabs>
          <w:tab w:val="clear" w:pos="720"/>
          <w:tab w:val="num" w:pos="1440"/>
        </w:tabs>
        <w:spacing w:before="100" w:beforeAutospacing="1" w:after="0" w:line="240" w:lineRule="auto"/>
        <w:ind w:left="1080"/>
        <w:rPr>
          <w:rFonts w:ascii="Verdana" w:eastAsia="Times New Roman" w:hAnsi="Verdana" w:cs="Arial"/>
          <w:color w:val="1F1F1F"/>
        </w:rPr>
      </w:pPr>
      <w:r w:rsidRPr="00DF69CE">
        <w:rPr>
          <w:rFonts w:ascii="Verdana" w:eastAsia="Times New Roman" w:hAnsi="Verdana" w:cs="Arial"/>
          <w:color w:val="1F1F1F"/>
        </w:rPr>
        <w:t xml:space="preserve">For entities whose Year 1 audits are submitted on time, the </w:t>
      </w:r>
      <w:r w:rsidR="00982178" w:rsidRPr="00982178">
        <w:rPr>
          <w:rFonts w:ascii="Verdana" w:eastAsia="Times New Roman" w:hAnsi="Verdana" w:cs="Arial"/>
          <w:color w:val="1F1F1F"/>
        </w:rPr>
        <w:t>IT Business Continuity/Disaster Recovery</w:t>
      </w:r>
      <w:r w:rsidRPr="00DF69CE">
        <w:rPr>
          <w:rFonts w:ascii="Verdana" w:eastAsia="Times New Roman" w:hAnsi="Verdana" w:cs="Arial"/>
          <w:color w:val="1F1F1F"/>
        </w:rPr>
        <w:t xml:space="preserve"> procedure will not require testing in Year 2.</w:t>
      </w:r>
      <w:r w:rsidR="00982178">
        <w:rPr>
          <w:rFonts w:ascii="Verdana" w:eastAsia="Times New Roman" w:hAnsi="Verdana" w:cs="Arial"/>
          <w:color w:val="1F1F1F"/>
        </w:rPr>
        <w:t xml:space="preserve"> </w:t>
      </w:r>
      <w:r w:rsidR="00982178" w:rsidRPr="00982178">
        <w:rPr>
          <w:rFonts w:ascii="Verdana" w:eastAsia="Times New Roman" w:hAnsi="Verdana" w:cs="Arial"/>
          <w:color w:val="1F1F1F"/>
        </w:rPr>
        <w:t xml:space="preserve">However, if the Year 1 audit is submitted late, all 14 procedures, including </w:t>
      </w:r>
      <w:bookmarkStart w:id="21" w:name="_Hlk181104973"/>
      <w:r w:rsidR="00982178" w:rsidRPr="00982178">
        <w:rPr>
          <w:rFonts w:ascii="Verdana" w:eastAsia="Times New Roman" w:hAnsi="Verdana" w:cs="Arial"/>
          <w:color w:val="1F1F1F"/>
        </w:rPr>
        <w:t>IT Business Continuity/Disaster Recovery</w:t>
      </w:r>
      <w:bookmarkEnd w:id="21"/>
      <w:r w:rsidR="00982178" w:rsidRPr="00982178">
        <w:rPr>
          <w:rFonts w:ascii="Verdana" w:eastAsia="Times New Roman" w:hAnsi="Verdana" w:cs="Arial"/>
          <w:color w:val="1F1F1F"/>
        </w:rPr>
        <w:t>, will be required in Year 2.</w:t>
      </w:r>
    </w:p>
    <w:p w14:paraId="41B46406" w14:textId="43EE8635" w:rsidR="00970AF8" w:rsidRPr="00340B3A" w:rsidRDefault="00A816D3" w:rsidP="00F5540B">
      <w:pPr>
        <w:numPr>
          <w:ilvl w:val="0"/>
          <w:numId w:val="79"/>
        </w:numPr>
        <w:shd w:val="clear" w:color="auto" w:fill="FFFFFF"/>
        <w:tabs>
          <w:tab w:val="clear" w:pos="720"/>
          <w:tab w:val="num" w:pos="1440"/>
        </w:tabs>
        <w:spacing w:before="100" w:beforeAutospacing="1" w:after="0" w:line="240" w:lineRule="auto"/>
        <w:ind w:left="1080"/>
        <w:rPr>
          <w:rFonts w:ascii="Verdana" w:eastAsia="Times New Roman" w:hAnsi="Verdana" w:cs="Arial"/>
          <w:color w:val="1F1F1F"/>
        </w:rPr>
      </w:pPr>
      <w:r w:rsidRPr="00340B3A">
        <w:rPr>
          <w:rFonts w:ascii="Verdana" w:eastAsia="Times New Roman" w:hAnsi="Verdana" w:cs="Arial"/>
          <w:color w:val="1F1F1F"/>
        </w:rPr>
        <w:t>For the remaining 13 SAUP categories t</w:t>
      </w:r>
      <w:r w:rsidR="00970AF8" w:rsidRPr="00340B3A">
        <w:rPr>
          <w:rFonts w:ascii="Verdana" w:eastAsia="Times New Roman" w:hAnsi="Verdana" w:cs="Arial"/>
          <w:color w:val="1F1F1F"/>
        </w:rPr>
        <w:t xml:space="preserve">he number of </w:t>
      </w:r>
      <w:r w:rsidRPr="00340B3A">
        <w:rPr>
          <w:rFonts w:ascii="Verdana" w:eastAsia="Times New Roman" w:hAnsi="Verdana" w:cs="Arial"/>
          <w:color w:val="1F1F1F"/>
        </w:rPr>
        <w:t>areas</w:t>
      </w:r>
      <w:r w:rsidR="00970AF8" w:rsidRPr="00340B3A">
        <w:rPr>
          <w:rFonts w:ascii="Verdana" w:eastAsia="Times New Roman" w:hAnsi="Verdana" w:cs="Arial"/>
          <w:color w:val="1F1F1F"/>
        </w:rPr>
        <w:t xml:space="preserve"> tested depend</w:t>
      </w:r>
      <w:r w:rsidR="0032786D" w:rsidRPr="00340B3A">
        <w:rPr>
          <w:rFonts w:ascii="Verdana" w:eastAsia="Times New Roman" w:hAnsi="Verdana" w:cs="Arial"/>
          <w:color w:val="1F1F1F"/>
        </w:rPr>
        <w:t>s</w:t>
      </w:r>
      <w:r w:rsidR="00970AF8" w:rsidRPr="00340B3A">
        <w:rPr>
          <w:rFonts w:ascii="Verdana" w:eastAsia="Times New Roman" w:hAnsi="Verdana" w:cs="Arial"/>
          <w:color w:val="1F1F1F"/>
        </w:rPr>
        <w:t xml:space="preserve"> on the </w:t>
      </w:r>
      <w:r w:rsidR="00234396" w:rsidRPr="00340B3A">
        <w:rPr>
          <w:rFonts w:ascii="Verdana" w:eastAsia="Times New Roman" w:hAnsi="Verdana" w:cs="Arial"/>
          <w:color w:val="1F1F1F"/>
        </w:rPr>
        <w:t>results</w:t>
      </w:r>
      <w:r w:rsidR="00970AF8" w:rsidRPr="00340B3A">
        <w:rPr>
          <w:rFonts w:ascii="Verdana" w:eastAsia="Times New Roman" w:hAnsi="Verdana" w:cs="Arial"/>
          <w:color w:val="1F1F1F"/>
        </w:rPr>
        <w:t xml:space="preserve"> of Year 1 testing </w:t>
      </w:r>
      <w:r w:rsidR="00970AF8" w:rsidRPr="00340B3A">
        <w:rPr>
          <w:rFonts w:ascii="Verdana" w:eastAsia="Times New Roman" w:hAnsi="Verdana" w:cs="Arial"/>
          <w:color w:val="1F1F1F"/>
          <w:u w:val="single"/>
        </w:rPr>
        <w:t>and</w:t>
      </w:r>
      <w:r w:rsidR="00970AF8" w:rsidRPr="00340B3A">
        <w:rPr>
          <w:rFonts w:ascii="Verdana" w:eastAsia="Times New Roman" w:hAnsi="Verdana" w:cs="Arial"/>
          <w:color w:val="1F1F1F"/>
        </w:rPr>
        <w:t xml:space="preserve"> whether the agency’s audit</w:t>
      </w:r>
      <w:r w:rsidR="006524FB">
        <w:rPr>
          <w:rFonts w:ascii="Verdana" w:eastAsia="Times New Roman" w:hAnsi="Verdana" w:cs="Arial"/>
          <w:color w:val="1F1F1F"/>
        </w:rPr>
        <w:t xml:space="preserve"> report</w:t>
      </w:r>
      <w:r w:rsidR="00970AF8" w:rsidRPr="00340B3A">
        <w:rPr>
          <w:rFonts w:ascii="Verdana" w:eastAsia="Times New Roman" w:hAnsi="Verdana" w:cs="Arial"/>
          <w:color w:val="1F1F1F"/>
        </w:rPr>
        <w:t xml:space="preserve"> was submitted on time in Year 1</w:t>
      </w:r>
      <w:r w:rsidR="000B2663">
        <w:rPr>
          <w:rFonts w:ascii="Verdana" w:eastAsia="Times New Roman" w:hAnsi="Verdana" w:cs="Arial"/>
          <w:color w:val="1F1F1F"/>
        </w:rPr>
        <w:t>. For example</w:t>
      </w:r>
      <w:r w:rsidR="00970AF8" w:rsidRPr="00340B3A">
        <w:rPr>
          <w:rFonts w:ascii="Verdana" w:eastAsia="Times New Roman" w:hAnsi="Verdana" w:cs="Arial"/>
          <w:color w:val="1F1F1F"/>
        </w:rPr>
        <w:t>:</w:t>
      </w:r>
    </w:p>
    <w:p w14:paraId="406E179E" w14:textId="77777777" w:rsidR="00970AF8" w:rsidRPr="00D30EAA" w:rsidRDefault="00970AF8" w:rsidP="00F5540B">
      <w:pPr>
        <w:shd w:val="clear" w:color="auto" w:fill="FFFFFF"/>
        <w:spacing w:before="100" w:beforeAutospacing="1" w:after="0" w:line="240" w:lineRule="auto"/>
        <w:ind w:left="1080"/>
        <w:contextualSpacing/>
        <w:rPr>
          <w:rFonts w:ascii="Verdana" w:eastAsia="Times New Roman" w:hAnsi="Verdana" w:cs="Arial"/>
          <w:color w:val="1F1F1F"/>
          <w:highlight w:val="yellow"/>
        </w:rPr>
      </w:pPr>
    </w:p>
    <w:p w14:paraId="5A8CCF48" w14:textId="64B6450A" w:rsidR="00970AF8" w:rsidRPr="006C0083" w:rsidRDefault="00970AF8" w:rsidP="00AD14E3">
      <w:pPr>
        <w:numPr>
          <w:ilvl w:val="1"/>
          <w:numId w:val="79"/>
        </w:numPr>
        <w:shd w:val="clear" w:color="auto" w:fill="FFFFFF"/>
        <w:tabs>
          <w:tab w:val="clear" w:pos="1440"/>
          <w:tab w:val="num" w:pos="2160"/>
        </w:tabs>
        <w:spacing w:before="100" w:beforeAutospacing="1" w:after="0" w:line="240" w:lineRule="auto"/>
        <w:contextualSpacing/>
        <w:rPr>
          <w:rFonts w:ascii="Verdana" w:eastAsia="Times New Roman" w:hAnsi="Verdana" w:cs="Arial"/>
          <w:color w:val="1F1F1F"/>
        </w:rPr>
      </w:pPr>
      <w:r w:rsidRPr="00D30EAA">
        <w:rPr>
          <w:rFonts w:ascii="Verdana" w:eastAsia="Times New Roman" w:hAnsi="Verdana" w:cs="Arial"/>
          <w:b/>
          <w:bCs/>
          <w:color w:val="1F1F1F"/>
        </w:rPr>
        <w:t>No</w:t>
      </w:r>
      <w:r w:rsidR="006C0083">
        <w:rPr>
          <w:rFonts w:ascii="Verdana" w:eastAsia="Times New Roman" w:hAnsi="Verdana" w:cs="Arial"/>
          <w:b/>
          <w:bCs/>
          <w:color w:val="1F1F1F"/>
        </w:rPr>
        <w:t xml:space="preserve"> Year 1</w:t>
      </w:r>
      <w:r w:rsidRPr="00D30EAA">
        <w:rPr>
          <w:rFonts w:ascii="Verdana" w:eastAsia="Times New Roman" w:hAnsi="Verdana" w:cs="Arial"/>
          <w:b/>
          <w:bCs/>
          <w:color w:val="1F1F1F"/>
        </w:rPr>
        <w:t xml:space="preserve"> Exceptions Identified (</w:t>
      </w:r>
      <w:r w:rsidR="006524FB">
        <w:rPr>
          <w:rFonts w:ascii="Verdana" w:eastAsia="Times New Roman" w:hAnsi="Verdana" w:cs="Arial"/>
          <w:b/>
          <w:bCs/>
          <w:color w:val="1F1F1F"/>
        </w:rPr>
        <w:t xml:space="preserve">and </w:t>
      </w:r>
      <w:r w:rsidRPr="00D30EAA">
        <w:rPr>
          <w:rFonts w:ascii="Verdana" w:eastAsia="Times New Roman" w:hAnsi="Verdana" w:cs="Arial"/>
          <w:b/>
          <w:bCs/>
          <w:color w:val="1F1F1F"/>
        </w:rPr>
        <w:t>Year 1 Audit Submitted on Time):</w:t>
      </w:r>
      <w:r w:rsidRPr="00D30EAA">
        <w:rPr>
          <w:rFonts w:ascii="Verdana" w:eastAsia="Times New Roman" w:hAnsi="Verdana" w:cs="Arial"/>
          <w:color w:val="1F1F1F"/>
        </w:rPr>
        <w:t> </w:t>
      </w:r>
      <w:r w:rsidR="00F02CF2">
        <w:rPr>
          <w:rFonts w:ascii="Verdana" w:eastAsia="Times New Roman" w:hAnsi="Verdana" w:cs="Arial"/>
          <w:color w:val="1F1F1F"/>
        </w:rPr>
        <w:t>N</w:t>
      </w:r>
      <w:r w:rsidR="00F02CF2" w:rsidRPr="006C0083">
        <w:rPr>
          <w:rFonts w:ascii="Verdana" w:eastAsia="Times New Roman" w:hAnsi="Verdana" w:cs="Arial"/>
          <w:color w:val="1F1F1F"/>
        </w:rPr>
        <w:t>o retesting will occur in Year 2</w:t>
      </w:r>
      <w:r w:rsidR="00F02CF2">
        <w:rPr>
          <w:rFonts w:ascii="Verdana" w:eastAsia="Times New Roman" w:hAnsi="Verdana" w:cs="Arial"/>
          <w:color w:val="1F1F1F"/>
        </w:rPr>
        <w:t xml:space="preserve"> i</w:t>
      </w:r>
      <w:r w:rsidR="00234396" w:rsidRPr="00D30EAA">
        <w:rPr>
          <w:rFonts w:ascii="Verdana" w:eastAsia="Times New Roman" w:hAnsi="Verdana" w:cs="Arial"/>
          <w:color w:val="1F1F1F"/>
        </w:rPr>
        <w:t>f n</w:t>
      </w:r>
      <w:r w:rsidRPr="006C0083">
        <w:rPr>
          <w:rFonts w:ascii="Verdana" w:eastAsia="Times New Roman" w:hAnsi="Verdana" w:cs="Arial"/>
          <w:color w:val="1F1F1F"/>
        </w:rPr>
        <w:t>o exceptions</w:t>
      </w:r>
      <w:r w:rsidR="00234396" w:rsidRPr="006C0083">
        <w:rPr>
          <w:rFonts w:ascii="Verdana" w:eastAsia="Times New Roman" w:hAnsi="Verdana" w:cs="Arial"/>
          <w:color w:val="1F1F1F"/>
        </w:rPr>
        <w:t xml:space="preserve"> are</w:t>
      </w:r>
      <w:r w:rsidRPr="006C0083">
        <w:rPr>
          <w:rFonts w:ascii="Verdana" w:eastAsia="Times New Roman" w:hAnsi="Verdana" w:cs="Arial"/>
          <w:color w:val="1F1F1F"/>
        </w:rPr>
        <w:t xml:space="preserve"> identified in Year 1 and</w:t>
      </w:r>
      <w:r w:rsidR="0032786D" w:rsidRPr="006C0083">
        <w:rPr>
          <w:rFonts w:ascii="Verdana" w:eastAsia="Times New Roman" w:hAnsi="Verdana" w:cs="Arial"/>
          <w:color w:val="1F1F1F"/>
        </w:rPr>
        <w:t xml:space="preserve"> the</w:t>
      </w:r>
      <w:r w:rsidRPr="006C0083">
        <w:rPr>
          <w:rFonts w:ascii="Verdana" w:eastAsia="Times New Roman" w:hAnsi="Verdana" w:cs="Arial"/>
          <w:color w:val="1F1F1F"/>
        </w:rPr>
        <w:t xml:space="preserve"> Year 1 audit</w:t>
      </w:r>
      <w:r w:rsidR="006524FB">
        <w:rPr>
          <w:rFonts w:ascii="Verdana" w:eastAsia="Times New Roman" w:hAnsi="Verdana" w:cs="Arial"/>
          <w:color w:val="1F1F1F"/>
        </w:rPr>
        <w:t xml:space="preserve"> report</w:t>
      </w:r>
      <w:r w:rsidRPr="006C0083">
        <w:rPr>
          <w:rFonts w:ascii="Verdana" w:eastAsia="Times New Roman" w:hAnsi="Verdana" w:cs="Arial"/>
          <w:color w:val="1F1F1F"/>
        </w:rPr>
        <w:t xml:space="preserve"> </w:t>
      </w:r>
      <w:r w:rsidR="00234396" w:rsidRPr="006C0083">
        <w:rPr>
          <w:rFonts w:ascii="Verdana" w:eastAsia="Times New Roman" w:hAnsi="Verdana" w:cs="Arial"/>
          <w:color w:val="1F1F1F"/>
        </w:rPr>
        <w:t xml:space="preserve">was </w:t>
      </w:r>
      <w:r w:rsidRPr="006C0083">
        <w:rPr>
          <w:rFonts w:ascii="Verdana" w:eastAsia="Times New Roman" w:hAnsi="Verdana" w:cs="Arial"/>
          <w:color w:val="1F1F1F"/>
        </w:rPr>
        <w:t xml:space="preserve">submitted </w:t>
      </w:r>
      <w:r w:rsidR="0032786D" w:rsidRPr="006C0083">
        <w:rPr>
          <w:rFonts w:ascii="Verdana" w:eastAsia="Times New Roman" w:hAnsi="Verdana" w:cs="Arial"/>
          <w:color w:val="1F1F1F"/>
        </w:rPr>
        <w:t>on time</w:t>
      </w:r>
      <w:r w:rsidRPr="006C0083">
        <w:rPr>
          <w:rFonts w:ascii="Verdana" w:eastAsia="Times New Roman" w:hAnsi="Verdana" w:cs="Arial"/>
          <w:color w:val="1F1F1F"/>
        </w:rPr>
        <w:t>.</w:t>
      </w:r>
    </w:p>
    <w:p w14:paraId="4F45AFAC" w14:textId="3F837363" w:rsidR="00AD14E3" w:rsidRPr="00F02CF2" w:rsidRDefault="006C0083" w:rsidP="006C0083">
      <w:pPr>
        <w:numPr>
          <w:ilvl w:val="1"/>
          <w:numId w:val="79"/>
        </w:numPr>
        <w:shd w:val="clear" w:color="auto" w:fill="FFFFFF"/>
        <w:tabs>
          <w:tab w:val="clear" w:pos="1440"/>
          <w:tab w:val="num" w:pos="2160"/>
        </w:tabs>
        <w:spacing w:before="100" w:beforeAutospacing="1" w:after="0" w:line="240" w:lineRule="auto"/>
        <w:contextualSpacing/>
        <w:rPr>
          <w:rFonts w:ascii="Verdana" w:eastAsia="Times New Roman" w:hAnsi="Verdana" w:cs="Arial"/>
          <w:color w:val="1F1F1F"/>
        </w:rPr>
      </w:pPr>
      <w:r w:rsidRPr="00F02CF2">
        <w:rPr>
          <w:rFonts w:ascii="Verdana" w:eastAsia="Times New Roman" w:hAnsi="Verdana" w:cs="Arial"/>
          <w:b/>
          <w:bCs/>
          <w:color w:val="1F1F1F"/>
        </w:rPr>
        <w:lastRenderedPageBreak/>
        <w:t xml:space="preserve">Year 1 </w:t>
      </w:r>
      <w:r w:rsidR="00970AF8" w:rsidRPr="00F02CF2">
        <w:rPr>
          <w:rFonts w:ascii="Verdana" w:eastAsia="Times New Roman" w:hAnsi="Verdana" w:cs="Arial"/>
          <w:b/>
          <w:bCs/>
          <w:color w:val="1F1F1F"/>
        </w:rPr>
        <w:t>Exceptions Identified (</w:t>
      </w:r>
      <w:r w:rsidR="006524FB">
        <w:rPr>
          <w:rFonts w:ascii="Verdana" w:eastAsia="Times New Roman" w:hAnsi="Verdana" w:cs="Arial"/>
          <w:b/>
          <w:bCs/>
          <w:color w:val="1F1F1F"/>
        </w:rPr>
        <w:t xml:space="preserve">and </w:t>
      </w:r>
      <w:r w:rsidR="00970AF8" w:rsidRPr="00F02CF2">
        <w:rPr>
          <w:rFonts w:ascii="Verdana" w:eastAsia="Times New Roman" w:hAnsi="Verdana" w:cs="Arial"/>
          <w:b/>
          <w:bCs/>
          <w:color w:val="1F1F1F"/>
        </w:rPr>
        <w:t>Year 1 Audit Submitted on Time):</w:t>
      </w:r>
      <w:r w:rsidR="00970AF8" w:rsidRPr="00F02CF2">
        <w:rPr>
          <w:rFonts w:ascii="Verdana" w:eastAsia="Times New Roman" w:hAnsi="Verdana" w:cs="Arial"/>
          <w:color w:val="1F1F1F"/>
        </w:rPr>
        <w:t> </w:t>
      </w:r>
      <w:r w:rsidR="00F02CF2" w:rsidRPr="00F02CF2">
        <w:rPr>
          <w:rFonts w:ascii="Verdana" w:eastAsia="Times New Roman" w:hAnsi="Verdana" w:cs="Arial"/>
          <w:color w:val="1F1F1F"/>
        </w:rPr>
        <w:t xml:space="preserve">Only those SAUP categories with exceptions in Year 1 will be retested in Year 2 if the Year 1 audit </w:t>
      </w:r>
      <w:r w:rsidR="006524FB">
        <w:rPr>
          <w:rFonts w:ascii="Verdana" w:eastAsia="Times New Roman" w:hAnsi="Verdana" w:cs="Arial"/>
          <w:color w:val="1F1F1F"/>
        </w:rPr>
        <w:t xml:space="preserve">report </w:t>
      </w:r>
      <w:r w:rsidR="00F02CF2" w:rsidRPr="00F02CF2">
        <w:rPr>
          <w:rFonts w:ascii="Verdana" w:eastAsia="Times New Roman" w:hAnsi="Verdana" w:cs="Arial"/>
          <w:color w:val="1F1F1F"/>
        </w:rPr>
        <w:t>was submitted on time</w:t>
      </w:r>
      <w:r w:rsidR="009859D0">
        <w:rPr>
          <w:rFonts w:ascii="Verdana" w:eastAsia="Times New Roman" w:hAnsi="Verdana" w:cs="Arial"/>
          <w:color w:val="1F1F1F"/>
        </w:rPr>
        <w:t>.</w:t>
      </w:r>
    </w:p>
    <w:p w14:paraId="234F59A9" w14:textId="77777777" w:rsidR="006C0083" w:rsidRPr="00F02CF2" w:rsidRDefault="006C0083" w:rsidP="006C0083">
      <w:pPr>
        <w:shd w:val="clear" w:color="auto" w:fill="FFFFFF"/>
        <w:spacing w:before="100" w:beforeAutospacing="1" w:after="0" w:line="240" w:lineRule="auto"/>
        <w:contextualSpacing/>
        <w:rPr>
          <w:rFonts w:ascii="Verdana" w:eastAsia="Times New Roman" w:hAnsi="Verdana" w:cs="Arial"/>
          <w:color w:val="1F1F1F"/>
          <w:highlight w:val="yellow"/>
        </w:rPr>
      </w:pPr>
    </w:p>
    <w:p w14:paraId="1C4CDF0E" w14:textId="53153561" w:rsidR="0076495A" w:rsidRPr="00F02CF2" w:rsidRDefault="00970AF8" w:rsidP="00F02CF2">
      <w:pPr>
        <w:numPr>
          <w:ilvl w:val="1"/>
          <w:numId w:val="79"/>
        </w:numPr>
        <w:shd w:val="clear" w:color="auto" w:fill="FFFFFF"/>
        <w:tabs>
          <w:tab w:val="clear" w:pos="1440"/>
          <w:tab w:val="num" w:pos="2160"/>
        </w:tabs>
        <w:spacing w:before="100" w:beforeAutospacing="1" w:after="0" w:line="240" w:lineRule="auto"/>
        <w:contextualSpacing/>
        <w:rPr>
          <w:rFonts w:ascii="Verdana" w:hAnsi="Verdana"/>
        </w:rPr>
      </w:pPr>
      <w:r w:rsidRPr="00F02CF2">
        <w:rPr>
          <w:rFonts w:ascii="Verdana" w:eastAsia="Times New Roman" w:hAnsi="Verdana" w:cs="Arial"/>
          <w:b/>
          <w:bCs/>
          <w:color w:val="1F1F1F"/>
        </w:rPr>
        <w:t>Late Submission</w:t>
      </w:r>
      <w:r w:rsidR="006C0083" w:rsidRPr="00F02CF2">
        <w:rPr>
          <w:rFonts w:ascii="Verdana" w:eastAsia="Times New Roman" w:hAnsi="Verdana" w:cs="Arial"/>
          <w:b/>
          <w:bCs/>
          <w:color w:val="1F1F1F"/>
        </w:rPr>
        <w:t xml:space="preserve"> of Year 1 Audit</w:t>
      </w:r>
      <w:r w:rsidRPr="00F02CF2">
        <w:rPr>
          <w:rFonts w:ascii="Verdana" w:eastAsia="Times New Roman" w:hAnsi="Verdana" w:cs="Arial"/>
          <w:b/>
          <w:bCs/>
          <w:color w:val="1F1F1F"/>
        </w:rPr>
        <w:t>:</w:t>
      </w:r>
      <w:r w:rsidRPr="00F02CF2">
        <w:rPr>
          <w:rFonts w:ascii="Verdana" w:eastAsia="Times New Roman" w:hAnsi="Verdana" w:cs="Arial"/>
          <w:color w:val="1F1F1F"/>
        </w:rPr>
        <w:t xml:space="preserve"> Regardless of </w:t>
      </w:r>
      <w:r w:rsidR="00AD14E3" w:rsidRPr="00F02CF2">
        <w:rPr>
          <w:rFonts w:ascii="Verdana" w:eastAsia="Times New Roman" w:hAnsi="Verdana" w:cs="Arial"/>
          <w:color w:val="1F1F1F"/>
        </w:rPr>
        <w:t xml:space="preserve">whether </w:t>
      </w:r>
      <w:r w:rsidRPr="00F02CF2">
        <w:rPr>
          <w:rFonts w:ascii="Verdana" w:eastAsia="Times New Roman" w:hAnsi="Verdana" w:cs="Arial"/>
          <w:color w:val="1F1F1F"/>
        </w:rPr>
        <w:t xml:space="preserve">exceptions </w:t>
      </w:r>
      <w:r w:rsidR="00AD14E3" w:rsidRPr="00F02CF2">
        <w:rPr>
          <w:rFonts w:ascii="Verdana" w:eastAsia="Times New Roman" w:hAnsi="Verdana" w:cs="Arial"/>
          <w:color w:val="1F1F1F"/>
        </w:rPr>
        <w:t xml:space="preserve">were identified </w:t>
      </w:r>
      <w:r w:rsidRPr="00F02CF2">
        <w:rPr>
          <w:rFonts w:ascii="Verdana" w:eastAsia="Times New Roman" w:hAnsi="Verdana" w:cs="Arial"/>
          <w:color w:val="1F1F1F"/>
        </w:rPr>
        <w:t>in Year 1, all 14 SAUP</w:t>
      </w:r>
      <w:r w:rsidR="00AD14E3" w:rsidRPr="00F02CF2">
        <w:rPr>
          <w:rFonts w:ascii="Verdana" w:eastAsia="Times New Roman" w:hAnsi="Verdana" w:cs="Arial"/>
          <w:color w:val="1F1F1F"/>
        </w:rPr>
        <w:t xml:space="preserve"> categories will be </w:t>
      </w:r>
      <w:r w:rsidRPr="00F02CF2">
        <w:rPr>
          <w:rFonts w:ascii="Verdana" w:eastAsia="Times New Roman" w:hAnsi="Verdana" w:cs="Arial"/>
          <w:color w:val="1F1F1F"/>
        </w:rPr>
        <w:t xml:space="preserve">retested in Year 2 </w:t>
      </w:r>
      <w:r w:rsidR="00AD14E3" w:rsidRPr="00F02CF2">
        <w:rPr>
          <w:rFonts w:ascii="Verdana" w:eastAsia="Times New Roman" w:hAnsi="Verdana" w:cs="Arial"/>
          <w:color w:val="1F1F1F"/>
        </w:rPr>
        <w:t>if the audit</w:t>
      </w:r>
      <w:r w:rsidR="006524FB">
        <w:rPr>
          <w:rFonts w:ascii="Verdana" w:eastAsia="Times New Roman" w:hAnsi="Verdana" w:cs="Arial"/>
          <w:color w:val="1F1F1F"/>
        </w:rPr>
        <w:t xml:space="preserve"> report</w:t>
      </w:r>
      <w:r w:rsidR="00AD14E3" w:rsidRPr="00F02CF2">
        <w:rPr>
          <w:rFonts w:ascii="Verdana" w:eastAsia="Times New Roman" w:hAnsi="Verdana" w:cs="Arial"/>
          <w:color w:val="1F1F1F"/>
        </w:rPr>
        <w:t xml:space="preserve"> was submitted </w:t>
      </w:r>
      <w:r w:rsidR="006524FB">
        <w:rPr>
          <w:rFonts w:ascii="Verdana" w:eastAsia="Times New Roman" w:hAnsi="Verdana" w:cs="Arial"/>
          <w:color w:val="1F1F1F"/>
        </w:rPr>
        <w:t>after the statutory due date of 6 months after the end of the fiscal year</w:t>
      </w:r>
      <w:r w:rsidR="00EE708F">
        <w:rPr>
          <w:rStyle w:val="FootnoteReference"/>
          <w:rFonts w:ascii="Verdana" w:eastAsia="Times New Roman" w:hAnsi="Verdana" w:cs="Arial"/>
          <w:color w:val="1F1F1F"/>
        </w:rPr>
        <w:footnoteReference w:id="4"/>
      </w:r>
      <w:r w:rsidRPr="00F02CF2">
        <w:rPr>
          <w:rFonts w:ascii="Verdana" w:eastAsia="Times New Roman" w:hAnsi="Verdana" w:cs="Arial"/>
          <w:color w:val="1F1F1F"/>
        </w:rPr>
        <w:t>.</w:t>
      </w:r>
      <w:r w:rsidR="006524FB">
        <w:rPr>
          <w:rFonts w:ascii="Verdana" w:eastAsia="Times New Roman" w:hAnsi="Verdana" w:cs="Arial"/>
          <w:color w:val="1F1F1F"/>
        </w:rPr>
        <w:t xml:space="preserve"> </w:t>
      </w:r>
      <w:r w:rsidRPr="00F02CF2">
        <w:rPr>
          <w:rFonts w:ascii="Verdana" w:eastAsia="Times New Roman" w:hAnsi="Verdana" w:cs="Arial"/>
          <w:color w:val="1F1F1F"/>
        </w:rPr>
        <w:t xml:space="preserve"> </w:t>
      </w:r>
    </w:p>
    <w:p w14:paraId="717E2340" w14:textId="77777777" w:rsidR="006C0083" w:rsidRPr="00F02CF2" w:rsidRDefault="006C0083" w:rsidP="00F02CF2">
      <w:pPr>
        <w:shd w:val="clear" w:color="auto" w:fill="FFFFFF"/>
        <w:spacing w:before="100" w:beforeAutospacing="1" w:after="0" w:line="240" w:lineRule="auto"/>
        <w:ind w:left="1080"/>
        <w:contextualSpacing/>
        <w:jc w:val="both"/>
        <w:rPr>
          <w:rFonts w:ascii="Verdana" w:hAnsi="Verdana"/>
          <w:highlight w:val="yellow"/>
        </w:rPr>
      </w:pPr>
    </w:p>
    <w:p w14:paraId="661E4DAA" w14:textId="2FE9472A" w:rsidR="00C47E7C" w:rsidRPr="000F7761" w:rsidRDefault="00C47E7C" w:rsidP="000F7761">
      <w:pPr>
        <w:pStyle w:val="ListParagraph"/>
        <w:numPr>
          <w:ilvl w:val="0"/>
          <w:numId w:val="81"/>
        </w:numPr>
        <w:jc w:val="both"/>
        <w:rPr>
          <w:rFonts w:ascii="Verdana" w:hAnsi="Verdana"/>
          <w:sz w:val="22"/>
          <w:szCs w:val="22"/>
        </w:rPr>
      </w:pPr>
      <w:r w:rsidRPr="000F7761">
        <w:rPr>
          <w:rFonts w:ascii="Verdana" w:hAnsi="Verdana"/>
          <w:sz w:val="22"/>
          <w:szCs w:val="22"/>
        </w:rPr>
        <w:t xml:space="preserve">In Year 2, certain procedures may reference sample selections or populations drawn from categories that are not required to be reperformed because no exceptions were identified in Year 1 (for example, Information Technology Disaster Recovery/Business Continuity referencing samples from Payroll and Personnel). In these cases, the practitioner should apply the same sample selection methodology that would have been used had the referenced procedure been performed in Year 2. The practitioner may replicate the relevant population description and selection criteria from the </w:t>
      </w:r>
      <w:r w:rsidR="000F7761">
        <w:rPr>
          <w:rFonts w:ascii="Verdana" w:hAnsi="Verdana"/>
          <w:sz w:val="22"/>
          <w:szCs w:val="22"/>
        </w:rPr>
        <w:t>referenced</w:t>
      </w:r>
      <w:r w:rsidRPr="000F7761">
        <w:rPr>
          <w:rFonts w:ascii="Verdana" w:hAnsi="Verdana"/>
          <w:sz w:val="22"/>
          <w:szCs w:val="22"/>
        </w:rPr>
        <w:t xml:space="preserve"> procedure into the </w:t>
      </w:r>
      <w:r w:rsidR="000F7761">
        <w:rPr>
          <w:rFonts w:ascii="Verdana" w:hAnsi="Verdana"/>
          <w:sz w:val="22"/>
          <w:szCs w:val="22"/>
        </w:rPr>
        <w:t xml:space="preserve">procedure being performed in </w:t>
      </w:r>
      <w:r w:rsidRPr="000F7761">
        <w:rPr>
          <w:rFonts w:ascii="Verdana" w:hAnsi="Verdana"/>
          <w:sz w:val="22"/>
          <w:szCs w:val="22"/>
        </w:rPr>
        <w:t>Year 2.</w:t>
      </w:r>
    </w:p>
    <w:p w14:paraId="2129824A" w14:textId="4A3DF9C9" w:rsidR="00D2787D" w:rsidRPr="00C441DF" w:rsidRDefault="00C47E7C" w:rsidP="000F7761">
      <w:pPr>
        <w:shd w:val="clear" w:color="auto" w:fill="FFFFFF"/>
        <w:spacing w:before="100" w:beforeAutospacing="1" w:after="100" w:afterAutospacing="1" w:line="240" w:lineRule="auto"/>
        <w:ind w:left="720"/>
        <w:contextualSpacing/>
        <w:rPr>
          <w:rFonts w:ascii="Verdana" w:hAnsi="Verdana"/>
        </w:rPr>
      </w:pPr>
      <w:r w:rsidRPr="000F7761">
        <w:rPr>
          <w:rFonts w:ascii="Verdana" w:hAnsi="Verdana"/>
        </w:rPr>
        <w:t>This approach is acceptable for any cross-referenced procedures, such as Procedure 13D (IT Disaster Recovery/Business Continuity) referencing terminated employees identified in Procedure 9</w:t>
      </w:r>
      <w:r w:rsidR="000F7761">
        <w:rPr>
          <w:rFonts w:ascii="Verdana" w:hAnsi="Verdana"/>
        </w:rPr>
        <w:t>A</w:t>
      </w:r>
      <w:r w:rsidRPr="000F7761">
        <w:rPr>
          <w:rFonts w:ascii="Verdana" w:hAnsi="Verdana"/>
        </w:rPr>
        <w:t xml:space="preserve"> (Payroll and Personnel), and Procedure 4D (Collections) referencing </w:t>
      </w:r>
      <w:r w:rsidR="000F7761">
        <w:rPr>
          <w:rFonts w:ascii="Verdana" w:hAnsi="Verdana"/>
        </w:rPr>
        <w:t>bank accounts</w:t>
      </w:r>
      <w:r w:rsidRPr="000F7761">
        <w:rPr>
          <w:rFonts w:ascii="Verdana" w:hAnsi="Verdana"/>
        </w:rPr>
        <w:t xml:space="preserve"> selected under Procedure 3A (Bank Reconciliations). </w:t>
      </w:r>
    </w:p>
    <w:p w14:paraId="0DC8EBDE" w14:textId="05B14275" w:rsidR="00D2787D" w:rsidRPr="00D2787D" w:rsidRDefault="00D2787D" w:rsidP="00D2787D">
      <w:pPr>
        <w:pStyle w:val="ListParagraph"/>
        <w:numPr>
          <w:ilvl w:val="0"/>
          <w:numId w:val="81"/>
        </w:numPr>
        <w:jc w:val="both"/>
        <w:rPr>
          <w:rFonts w:ascii="Verdana" w:hAnsi="Verdana"/>
          <w:sz w:val="22"/>
          <w:szCs w:val="22"/>
        </w:rPr>
      </w:pPr>
      <w:r w:rsidRPr="00D2787D">
        <w:rPr>
          <w:rFonts w:ascii="Verdana" w:hAnsi="Verdana"/>
          <w:sz w:val="22"/>
          <w:szCs w:val="22"/>
        </w:rPr>
        <w:t xml:space="preserve">In instances where </w:t>
      </w:r>
      <w:r w:rsidR="00F30CC7">
        <w:rPr>
          <w:rFonts w:ascii="Verdana" w:hAnsi="Verdana"/>
          <w:sz w:val="22"/>
          <w:szCs w:val="22"/>
        </w:rPr>
        <w:t xml:space="preserve">there is a multi-year engagement letter in place and where Year 2 procedures differ </w:t>
      </w:r>
      <w:r w:rsidRPr="00D2787D">
        <w:rPr>
          <w:rFonts w:ascii="Verdana" w:hAnsi="Verdana"/>
          <w:sz w:val="22"/>
          <w:szCs w:val="22"/>
        </w:rPr>
        <w:t xml:space="preserve">from those described in the original engagement letter due to the LLA’s </w:t>
      </w:r>
      <w:r w:rsidR="001F7C1C">
        <w:rPr>
          <w:rFonts w:ascii="Verdana" w:hAnsi="Verdana"/>
          <w:sz w:val="22"/>
          <w:szCs w:val="22"/>
        </w:rPr>
        <w:t>2</w:t>
      </w:r>
      <w:r w:rsidRPr="00D2787D">
        <w:rPr>
          <w:rFonts w:ascii="Verdana" w:hAnsi="Verdana"/>
          <w:sz w:val="22"/>
          <w:szCs w:val="22"/>
        </w:rPr>
        <w:t xml:space="preserve">-year testing cycle policy, the auditor </w:t>
      </w:r>
      <w:r w:rsidR="00EA62B3">
        <w:rPr>
          <w:rFonts w:ascii="Verdana" w:hAnsi="Verdana"/>
          <w:sz w:val="22"/>
          <w:szCs w:val="22"/>
        </w:rPr>
        <w:t>must</w:t>
      </w:r>
      <w:r w:rsidR="001F7C1C">
        <w:rPr>
          <w:rFonts w:ascii="Verdana" w:hAnsi="Verdana"/>
          <w:sz w:val="22"/>
          <w:szCs w:val="22"/>
        </w:rPr>
        <w:t xml:space="preserve"> </w:t>
      </w:r>
      <w:r w:rsidRPr="00D2787D">
        <w:rPr>
          <w:rFonts w:ascii="Verdana" w:hAnsi="Verdana"/>
          <w:sz w:val="22"/>
          <w:szCs w:val="22"/>
        </w:rPr>
        <w:t xml:space="preserve">issue an </w:t>
      </w:r>
      <w:r w:rsidR="00505FF8">
        <w:rPr>
          <w:rFonts w:ascii="Verdana" w:hAnsi="Verdana"/>
          <w:sz w:val="22"/>
          <w:szCs w:val="22"/>
        </w:rPr>
        <w:t xml:space="preserve">engagement </w:t>
      </w:r>
      <w:r w:rsidR="00F30CC7">
        <w:rPr>
          <w:rFonts w:ascii="Verdana" w:hAnsi="Verdana"/>
          <w:sz w:val="22"/>
          <w:szCs w:val="22"/>
        </w:rPr>
        <w:t xml:space="preserve">agreement </w:t>
      </w:r>
      <w:r w:rsidRPr="00D2787D">
        <w:rPr>
          <w:rFonts w:ascii="Verdana" w:hAnsi="Verdana"/>
          <w:sz w:val="22"/>
          <w:szCs w:val="22"/>
        </w:rPr>
        <w:t>addendum to document the revised scope. The addendum should:</w:t>
      </w:r>
    </w:p>
    <w:p w14:paraId="700D4F54" w14:textId="77777777" w:rsidR="00D2787D" w:rsidRPr="00D2787D" w:rsidRDefault="00D2787D" w:rsidP="00C441DF">
      <w:pPr>
        <w:pStyle w:val="ListParagraph"/>
        <w:numPr>
          <w:ilvl w:val="1"/>
          <w:numId w:val="81"/>
        </w:numPr>
        <w:jc w:val="both"/>
        <w:rPr>
          <w:rFonts w:ascii="Verdana" w:hAnsi="Verdana"/>
          <w:sz w:val="22"/>
          <w:szCs w:val="22"/>
        </w:rPr>
      </w:pPr>
      <w:r w:rsidRPr="00D2787D">
        <w:rPr>
          <w:rFonts w:ascii="Verdana" w:hAnsi="Verdana"/>
          <w:sz w:val="22"/>
          <w:szCs w:val="22"/>
        </w:rPr>
        <w:t>Reference the original engagement letter;</w:t>
      </w:r>
    </w:p>
    <w:p w14:paraId="49A945BF" w14:textId="10F0A52B" w:rsidR="00D2787D" w:rsidRDefault="00D2787D" w:rsidP="00D2787D">
      <w:pPr>
        <w:pStyle w:val="ListParagraph"/>
        <w:numPr>
          <w:ilvl w:val="1"/>
          <w:numId w:val="81"/>
        </w:numPr>
        <w:jc w:val="both"/>
        <w:rPr>
          <w:rFonts w:ascii="Verdana" w:hAnsi="Verdana"/>
          <w:sz w:val="22"/>
          <w:szCs w:val="22"/>
        </w:rPr>
      </w:pPr>
      <w:r w:rsidRPr="00D2787D">
        <w:rPr>
          <w:rFonts w:ascii="Verdana" w:hAnsi="Verdana"/>
          <w:sz w:val="22"/>
          <w:szCs w:val="22"/>
        </w:rPr>
        <w:t>Describe the scope modification resulting from the two-year testing cycle (e.g., reduction of specific procedures);</w:t>
      </w:r>
    </w:p>
    <w:p w14:paraId="5A844F95" w14:textId="3ADE4F1C" w:rsidR="00D2787D" w:rsidRDefault="001F7C1C" w:rsidP="00C441DF">
      <w:pPr>
        <w:pStyle w:val="ListParagraph"/>
        <w:numPr>
          <w:ilvl w:val="1"/>
          <w:numId w:val="81"/>
        </w:numPr>
        <w:jc w:val="both"/>
        <w:rPr>
          <w:rFonts w:ascii="Verdana" w:hAnsi="Verdana"/>
          <w:sz w:val="22"/>
          <w:szCs w:val="22"/>
        </w:rPr>
      </w:pPr>
      <w:r>
        <w:rPr>
          <w:rFonts w:ascii="Verdana" w:hAnsi="Verdana"/>
          <w:sz w:val="22"/>
          <w:szCs w:val="22"/>
        </w:rPr>
        <w:t>Contain the signature of t</w:t>
      </w:r>
      <w:r w:rsidR="00D2787D">
        <w:rPr>
          <w:rFonts w:ascii="Verdana" w:hAnsi="Verdana"/>
          <w:sz w:val="22"/>
          <w:szCs w:val="22"/>
        </w:rPr>
        <w:t>he auditor and the client.</w:t>
      </w:r>
    </w:p>
    <w:p w14:paraId="7D8DA5D5" w14:textId="3C719A61" w:rsidR="00600826" w:rsidRDefault="00600826" w:rsidP="00600826">
      <w:pPr>
        <w:jc w:val="both"/>
        <w:rPr>
          <w:rFonts w:ascii="Verdana" w:hAnsi="Verdana"/>
        </w:rPr>
      </w:pPr>
    </w:p>
    <w:p w14:paraId="6D3C554D" w14:textId="65605AFE" w:rsidR="00600826" w:rsidRPr="001B7E0D" w:rsidRDefault="00600826" w:rsidP="001B7E0D">
      <w:pPr>
        <w:ind w:left="720"/>
        <w:jc w:val="both"/>
        <w:rPr>
          <w:rFonts w:ascii="Verdana" w:hAnsi="Verdana"/>
        </w:rPr>
      </w:pPr>
      <w:r>
        <w:rPr>
          <w:rFonts w:ascii="Verdana" w:hAnsi="Verdana"/>
        </w:rPr>
        <w:t xml:space="preserve">All addendums should be emailed to </w:t>
      </w:r>
      <w:hyperlink r:id="rId15" w:history="1">
        <w:r w:rsidRPr="004B7BF3">
          <w:rPr>
            <w:rStyle w:val="Hyperlink"/>
            <w:rFonts w:ascii="Verdana" w:hAnsi="Verdana"/>
          </w:rPr>
          <w:t>ereports@lla.la.gov</w:t>
        </w:r>
      </w:hyperlink>
      <w:r>
        <w:rPr>
          <w:rFonts w:ascii="Verdana" w:hAnsi="Verdana"/>
        </w:rPr>
        <w:t>.</w:t>
      </w:r>
    </w:p>
    <w:p w14:paraId="7E73EC8E" w14:textId="1D0AD9D8" w:rsidR="005B5E5D" w:rsidRPr="00340B3A" w:rsidRDefault="005B5E5D" w:rsidP="00773CBA">
      <w:pPr>
        <w:jc w:val="both"/>
        <w:rPr>
          <w:rFonts w:ascii="Verdana" w:hAnsi="Verdana" w:cs="Times New Roman"/>
          <w:b/>
          <w:i/>
          <w:u w:val="single"/>
        </w:rPr>
      </w:pPr>
      <w:bookmarkStart w:id="22" w:name="APPLICABLE"/>
      <w:r w:rsidRPr="00340B3A">
        <w:rPr>
          <w:rFonts w:ascii="Verdana" w:hAnsi="Verdana" w:cs="Times New Roman"/>
          <w:b/>
          <w:i/>
          <w:u w:val="single"/>
        </w:rPr>
        <w:lastRenderedPageBreak/>
        <w:t>Applicable Auditing Standards</w:t>
      </w:r>
    </w:p>
    <w:bookmarkEnd w:id="19"/>
    <w:bookmarkEnd w:id="22"/>
    <w:p w14:paraId="14950F51" w14:textId="3440E4B1" w:rsidR="005B5E5D" w:rsidRPr="00340B3A" w:rsidRDefault="00773CBA" w:rsidP="00773CBA">
      <w:pPr>
        <w:jc w:val="both"/>
        <w:rPr>
          <w:rFonts w:ascii="Verdana" w:hAnsi="Verdana" w:cs="Times New Roman"/>
        </w:rPr>
      </w:pPr>
      <w:r w:rsidRPr="00340B3A">
        <w:rPr>
          <w:rFonts w:ascii="Verdana" w:hAnsi="Verdana" w:cs="Times New Roman"/>
        </w:rPr>
        <w:t xml:space="preserve">The </w:t>
      </w:r>
      <w:r w:rsidR="00BD1C86" w:rsidRPr="00340B3A">
        <w:rPr>
          <w:rFonts w:ascii="Verdana" w:hAnsi="Verdana" w:cs="Times New Roman"/>
        </w:rPr>
        <w:t>AUP</w:t>
      </w:r>
      <w:r w:rsidRPr="00340B3A">
        <w:rPr>
          <w:rFonts w:ascii="Verdana" w:hAnsi="Verdana" w:cs="Times New Roman"/>
        </w:rPr>
        <w:t xml:space="preserve">s are to be performed </w:t>
      </w:r>
      <w:r w:rsidR="00B82056" w:rsidRPr="00340B3A">
        <w:rPr>
          <w:rFonts w:ascii="Verdana" w:hAnsi="Verdana" w:cs="Times New Roman"/>
        </w:rPr>
        <w:t>in accordance with</w:t>
      </w:r>
      <w:r w:rsidRPr="00340B3A">
        <w:rPr>
          <w:rFonts w:ascii="Verdana" w:hAnsi="Verdana" w:cs="Times New Roman"/>
        </w:rPr>
        <w:t xml:space="preserve"> attest</w:t>
      </w:r>
      <w:r w:rsidR="00B82056" w:rsidRPr="00340B3A">
        <w:rPr>
          <w:rFonts w:ascii="Verdana" w:hAnsi="Verdana" w:cs="Times New Roman"/>
        </w:rPr>
        <w:t>ation</w:t>
      </w:r>
      <w:r w:rsidRPr="00340B3A">
        <w:rPr>
          <w:rFonts w:ascii="Verdana" w:hAnsi="Verdana" w:cs="Times New Roman"/>
        </w:rPr>
        <w:t xml:space="preserve"> standards</w:t>
      </w:r>
      <w:r w:rsidR="00133A56" w:rsidRPr="00340B3A">
        <w:rPr>
          <w:rFonts w:ascii="Verdana" w:hAnsi="Verdana" w:cs="Times New Roman"/>
        </w:rPr>
        <w:t xml:space="preserve"> (Statements on Standards for Attestation Engagements</w:t>
      </w:r>
      <w:r w:rsidR="006F512D" w:rsidRPr="00340B3A">
        <w:rPr>
          <w:rFonts w:ascii="Verdana" w:hAnsi="Verdana" w:cs="Times New Roman"/>
        </w:rPr>
        <w:t>; SSAEs</w:t>
      </w:r>
      <w:r w:rsidR="00133A56" w:rsidRPr="00340B3A">
        <w:rPr>
          <w:rFonts w:ascii="Verdana" w:hAnsi="Verdana" w:cs="Times New Roman"/>
        </w:rPr>
        <w:t>)</w:t>
      </w:r>
      <w:r w:rsidRPr="00340B3A">
        <w:rPr>
          <w:rFonts w:ascii="Verdana" w:hAnsi="Verdana" w:cs="Times New Roman"/>
        </w:rPr>
        <w:t xml:space="preserve"> </w:t>
      </w:r>
      <w:r w:rsidR="00B82056" w:rsidRPr="00340B3A">
        <w:rPr>
          <w:rFonts w:ascii="Verdana" w:hAnsi="Verdana" w:cs="Times New Roman"/>
        </w:rPr>
        <w:t>established by the A</w:t>
      </w:r>
      <w:r w:rsidR="006F512D" w:rsidRPr="00340B3A">
        <w:rPr>
          <w:rFonts w:ascii="Verdana" w:hAnsi="Verdana" w:cs="Times New Roman"/>
        </w:rPr>
        <w:t xml:space="preserve">merican </w:t>
      </w:r>
      <w:r w:rsidR="00B82056" w:rsidRPr="00340B3A">
        <w:rPr>
          <w:rFonts w:ascii="Verdana" w:hAnsi="Verdana" w:cs="Times New Roman"/>
        </w:rPr>
        <w:t>I</w:t>
      </w:r>
      <w:r w:rsidR="006F512D" w:rsidRPr="00340B3A">
        <w:rPr>
          <w:rFonts w:ascii="Verdana" w:hAnsi="Verdana" w:cs="Times New Roman"/>
        </w:rPr>
        <w:t xml:space="preserve">nstitute of </w:t>
      </w:r>
      <w:r w:rsidR="00B82056" w:rsidRPr="00340B3A">
        <w:rPr>
          <w:rFonts w:ascii="Verdana" w:hAnsi="Verdana" w:cs="Times New Roman"/>
        </w:rPr>
        <w:t>C</w:t>
      </w:r>
      <w:r w:rsidR="006F512D" w:rsidRPr="00340B3A">
        <w:rPr>
          <w:rFonts w:ascii="Verdana" w:hAnsi="Verdana" w:cs="Times New Roman"/>
        </w:rPr>
        <w:t xml:space="preserve">ertified </w:t>
      </w:r>
      <w:r w:rsidR="00B82056" w:rsidRPr="00340B3A">
        <w:rPr>
          <w:rFonts w:ascii="Verdana" w:hAnsi="Verdana" w:cs="Times New Roman"/>
        </w:rPr>
        <w:t>P</w:t>
      </w:r>
      <w:r w:rsidR="006F512D" w:rsidRPr="00340B3A">
        <w:rPr>
          <w:rFonts w:ascii="Verdana" w:hAnsi="Verdana" w:cs="Times New Roman"/>
        </w:rPr>
        <w:t xml:space="preserve">ublic </w:t>
      </w:r>
      <w:r w:rsidR="00B82056" w:rsidRPr="00340B3A">
        <w:rPr>
          <w:rFonts w:ascii="Verdana" w:hAnsi="Verdana" w:cs="Times New Roman"/>
        </w:rPr>
        <w:t>A</w:t>
      </w:r>
      <w:r w:rsidR="006F512D" w:rsidRPr="00340B3A">
        <w:rPr>
          <w:rFonts w:ascii="Verdana" w:hAnsi="Verdana" w:cs="Times New Roman"/>
        </w:rPr>
        <w:t>ccountants (AICPA)</w:t>
      </w:r>
      <w:r w:rsidR="00B82056" w:rsidRPr="00340B3A">
        <w:rPr>
          <w:rFonts w:ascii="Verdana" w:hAnsi="Verdana" w:cs="Times New Roman"/>
        </w:rPr>
        <w:t xml:space="preserve"> </w:t>
      </w:r>
      <w:r w:rsidRPr="00340B3A">
        <w:rPr>
          <w:rFonts w:ascii="Verdana" w:hAnsi="Verdana" w:cs="Times New Roman"/>
        </w:rPr>
        <w:t xml:space="preserve">and </w:t>
      </w:r>
      <w:r w:rsidRPr="00340B3A">
        <w:rPr>
          <w:rFonts w:ascii="Verdana" w:hAnsi="Verdana" w:cs="Times New Roman"/>
          <w:i/>
        </w:rPr>
        <w:t>Government Auditing Standards</w:t>
      </w:r>
      <w:r w:rsidRPr="00340B3A">
        <w:rPr>
          <w:rFonts w:ascii="Verdana" w:hAnsi="Verdana" w:cs="Times New Roman"/>
        </w:rPr>
        <w:t xml:space="preserve">, and the </w:t>
      </w:r>
      <w:r w:rsidR="00BD1C86" w:rsidRPr="00340B3A">
        <w:rPr>
          <w:rFonts w:ascii="Verdana" w:hAnsi="Verdana" w:cs="Times New Roman"/>
        </w:rPr>
        <w:t>AUP</w:t>
      </w:r>
      <w:r w:rsidRPr="00340B3A">
        <w:rPr>
          <w:rFonts w:ascii="Verdana" w:hAnsi="Verdana" w:cs="Times New Roman"/>
        </w:rPr>
        <w:t xml:space="preserve"> report must be attached </w:t>
      </w:r>
      <w:r w:rsidR="00360777" w:rsidRPr="00340B3A">
        <w:rPr>
          <w:rFonts w:ascii="Verdana" w:hAnsi="Verdana" w:cs="Times New Roman"/>
        </w:rPr>
        <w:t>with</w:t>
      </w:r>
      <w:r w:rsidRPr="00340B3A">
        <w:rPr>
          <w:rFonts w:ascii="Verdana" w:hAnsi="Verdana" w:cs="Times New Roman"/>
        </w:rPr>
        <w:t xml:space="preserve"> the audit report that is submitted to the Legislative Auditor’s office (i.e.</w:t>
      </w:r>
      <w:r w:rsidR="00BD0A4B" w:rsidRPr="00340B3A">
        <w:rPr>
          <w:rFonts w:ascii="Verdana" w:hAnsi="Verdana" w:cs="Times New Roman"/>
        </w:rPr>
        <w:t>,</w:t>
      </w:r>
      <w:r w:rsidRPr="00340B3A">
        <w:rPr>
          <w:rFonts w:ascii="Verdana" w:hAnsi="Verdana" w:cs="Times New Roman"/>
        </w:rPr>
        <w:t xml:space="preserve"> one pdf file submitted to the LLA rather than two). The </w:t>
      </w:r>
      <w:r w:rsidR="00BD1C86" w:rsidRPr="00340B3A">
        <w:rPr>
          <w:rFonts w:ascii="Verdana" w:hAnsi="Verdana" w:cs="Times New Roman"/>
        </w:rPr>
        <w:t>AUP</w:t>
      </w:r>
      <w:r w:rsidRPr="00340B3A">
        <w:rPr>
          <w:rFonts w:ascii="Verdana" w:hAnsi="Verdana" w:cs="Times New Roman"/>
        </w:rPr>
        <w:t xml:space="preserve">s are required to be performed by the same firm that performs the annual audit; accordingly, a separate “engagement approval form” for the statewide AUP engagement is </w:t>
      </w:r>
      <w:r w:rsidRPr="00340B3A">
        <w:rPr>
          <w:rFonts w:ascii="Verdana" w:hAnsi="Verdana" w:cs="Times New Roman"/>
          <w:b/>
        </w:rPr>
        <w:t>not required</w:t>
      </w:r>
      <w:r w:rsidRPr="00340B3A">
        <w:rPr>
          <w:rFonts w:ascii="Verdana" w:hAnsi="Verdana" w:cs="Times New Roman"/>
        </w:rPr>
        <w:t>.</w:t>
      </w:r>
      <w:r w:rsidR="00600AFA" w:rsidRPr="00340B3A">
        <w:rPr>
          <w:rFonts w:ascii="Verdana" w:hAnsi="Verdana" w:cs="Times New Roman"/>
        </w:rPr>
        <w:t xml:space="preserve">  The LLA is considered to be a specified party to the </w:t>
      </w:r>
      <w:r w:rsidR="00BD1C86" w:rsidRPr="00340B3A">
        <w:rPr>
          <w:rFonts w:ascii="Verdana" w:hAnsi="Verdana" w:cs="Times New Roman"/>
        </w:rPr>
        <w:t>AUP</w:t>
      </w:r>
      <w:r w:rsidR="00600AFA" w:rsidRPr="00340B3A">
        <w:rPr>
          <w:rFonts w:ascii="Verdana" w:hAnsi="Verdana" w:cs="Times New Roman"/>
        </w:rPr>
        <w:t xml:space="preserve"> engagements and </w:t>
      </w:r>
      <w:r w:rsidR="00890D91" w:rsidRPr="00340B3A">
        <w:rPr>
          <w:rFonts w:ascii="Verdana" w:hAnsi="Verdana" w:cs="Times New Roman"/>
        </w:rPr>
        <w:t>acknowl</w:t>
      </w:r>
      <w:r w:rsidR="00B82056" w:rsidRPr="00340B3A">
        <w:rPr>
          <w:rFonts w:ascii="Verdana" w:hAnsi="Verdana" w:cs="Times New Roman"/>
        </w:rPr>
        <w:t>e</w:t>
      </w:r>
      <w:r w:rsidR="00890D91" w:rsidRPr="00340B3A">
        <w:rPr>
          <w:rFonts w:ascii="Verdana" w:hAnsi="Verdana" w:cs="Times New Roman"/>
        </w:rPr>
        <w:t>dges</w:t>
      </w:r>
      <w:r w:rsidR="00B82056" w:rsidRPr="00340B3A">
        <w:rPr>
          <w:rFonts w:ascii="Verdana" w:hAnsi="Verdana" w:cs="Times New Roman"/>
        </w:rPr>
        <w:t xml:space="preserve"> that the procedures performed are appropriate for our purposes</w:t>
      </w:r>
      <w:r w:rsidR="00600AFA" w:rsidRPr="00340B3A">
        <w:rPr>
          <w:rFonts w:ascii="Verdana" w:hAnsi="Verdana" w:cs="Times New Roman"/>
        </w:rPr>
        <w:t xml:space="preserve"> by our acceptance of the standard audit engagement approval forms.</w:t>
      </w:r>
    </w:p>
    <w:p w14:paraId="303EC90C" w14:textId="38921C9D" w:rsidR="009171B6" w:rsidRPr="00340B3A" w:rsidRDefault="009171B6" w:rsidP="00773CBA">
      <w:pPr>
        <w:jc w:val="both"/>
        <w:rPr>
          <w:rFonts w:ascii="Verdana" w:hAnsi="Verdana" w:cs="Times New Roman"/>
          <w:b/>
          <w:i/>
          <w:u w:val="single"/>
        </w:rPr>
      </w:pPr>
      <w:bookmarkStart w:id="23" w:name="REPORTING_FINDINGS"/>
      <w:r w:rsidRPr="00340B3A">
        <w:rPr>
          <w:rFonts w:ascii="Verdana" w:hAnsi="Verdana" w:cs="Times New Roman"/>
          <w:b/>
          <w:i/>
          <w:u w:val="single"/>
        </w:rPr>
        <w:t xml:space="preserve">Reporting </w:t>
      </w:r>
      <w:r w:rsidR="00BD1C86" w:rsidRPr="00340B3A">
        <w:rPr>
          <w:rFonts w:ascii="Verdana" w:hAnsi="Verdana" w:cs="Times New Roman"/>
          <w:b/>
          <w:i/>
          <w:u w:val="single"/>
        </w:rPr>
        <w:t>AUP</w:t>
      </w:r>
      <w:r w:rsidRPr="00340B3A">
        <w:rPr>
          <w:rFonts w:ascii="Verdana" w:hAnsi="Verdana" w:cs="Times New Roman"/>
          <w:b/>
          <w:i/>
          <w:u w:val="single"/>
        </w:rPr>
        <w:t xml:space="preserve"> </w:t>
      </w:r>
      <w:r w:rsidR="00F247D2" w:rsidRPr="00340B3A">
        <w:rPr>
          <w:rFonts w:ascii="Verdana" w:hAnsi="Verdana" w:cs="Times New Roman"/>
          <w:b/>
          <w:i/>
          <w:u w:val="single"/>
        </w:rPr>
        <w:t>Finding</w:t>
      </w:r>
      <w:r w:rsidRPr="00340B3A">
        <w:rPr>
          <w:rFonts w:ascii="Verdana" w:hAnsi="Verdana" w:cs="Times New Roman"/>
          <w:b/>
          <w:i/>
          <w:u w:val="single"/>
        </w:rPr>
        <w:t>s</w:t>
      </w:r>
    </w:p>
    <w:bookmarkEnd w:id="23"/>
    <w:p w14:paraId="09A11B77" w14:textId="77E33239" w:rsidR="006F512D" w:rsidRPr="00340B3A" w:rsidRDefault="00A009FA" w:rsidP="00773CBA">
      <w:pPr>
        <w:jc w:val="both"/>
        <w:rPr>
          <w:rFonts w:ascii="Verdana" w:hAnsi="Verdana" w:cs="Times New Roman"/>
        </w:rPr>
      </w:pPr>
      <w:r w:rsidRPr="00340B3A">
        <w:rPr>
          <w:rFonts w:ascii="Verdana" w:hAnsi="Verdana" w:cs="Times New Roman"/>
          <w:i/>
        </w:rPr>
        <w:t xml:space="preserve">Findings </w:t>
      </w:r>
      <w:r w:rsidRPr="00340B3A">
        <w:rPr>
          <w:rFonts w:ascii="Verdana" w:hAnsi="Verdana" w:cs="Times New Roman"/>
        </w:rPr>
        <w:t>are the factual results of the procedures performed</w:t>
      </w:r>
      <w:r w:rsidR="00672CCC" w:rsidRPr="00340B3A">
        <w:rPr>
          <w:rFonts w:ascii="Verdana" w:hAnsi="Verdana" w:cs="Times New Roman"/>
        </w:rPr>
        <w:t xml:space="preserve">, including sufficient details of any exceptions found. </w:t>
      </w:r>
      <w:r w:rsidR="00773CBA" w:rsidRPr="00340B3A">
        <w:rPr>
          <w:rFonts w:ascii="Verdana" w:hAnsi="Verdana" w:cs="Times New Roman"/>
        </w:rPr>
        <w:t xml:space="preserve">All </w:t>
      </w:r>
      <w:r w:rsidR="0049327B" w:rsidRPr="00340B3A">
        <w:rPr>
          <w:rFonts w:ascii="Verdana" w:hAnsi="Verdana" w:cs="Times New Roman"/>
        </w:rPr>
        <w:t>exceptions found</w:t>
      </w:r>
      <w:r w:rsidR="00536E2E" w:rsidRPr="00340B3A">
        <w:rPr>
          <w:rFonts w:ascii="Verdana" w:hAnsi="Verdana" w:cs="Times New Roman"/>
        </w:rPr>
        <w:t xml:space="preserve">, other than those related </w:t>
      </w:r>
      <w:r w:rsidR="003F0E2B" w:rsidRPr="00340B3A">
        <w:rPr>
          <w:rFonts w:ascii="Verdana" w:hAnsi="Verdana" w:cs="Times New Roman"/>
        </w:rPr>
        <w:t xml:space="preserve">to </w:t>
      </w:r>
      <w:r w:rsidR="00536E2E" w:rsidRPr="00340B3A">
        <w:rPr>
          <w:rFonts w:ascii="Verdana" w:hAnsi="Verdana" w:cs="Times New Roman"/>
        </w:rPr>
        <w:t>Information Technology Disaster Recovery/Business Continuity,</w:t>
      </w:r>
      <w:r w:rsidR="00773CBA" w:rsidRPr="00340B3A">
        <w:rPr>
          <w:rFonts w:ascii="Verdana" w:hAnsi="Verdana" w:cs="Times New Roman"/>
        </w:rPr>
        <w:t xml:space="preserve"> are to be included in the </w:t>
      </w:r>
      <w:r w:rsidR="00BD1C86" w:rsidRPr="00340B3A">
        <w:rPr>
          <w:rFonts w:ascii="Verdana" w:hAnsi="Verdana" w:cs="Times New Roman"/>
        </w:rPr>
        <w:t>AUP</w:t>
      </w:r>
      <w:r w:rsidR="00773CBA" w:rsidRPr="00340B3A">
        <w:rPr>
          <w:rFonts w:ascii="Verdana" w:hAnsi="Verdana" w:cs="Times New Roman"/>
        </w:rPr>
        <w:t xml:space="preserve"> report with management’s res</w:t>
      </w:r>
      <w:r w:rsidR="00D065A7" w:rsidRPr="00340B3A">
        <w:rPr>
          <w:rFonts w:ascii="Verdana" w:hAnsi="Verdana" w:cs="Times New Roman"/>
        </w:rPr>
        <w:t xml:space="preserve">ponses/corrective actions.  </w:t>
      </w:r>
      <w:r w:rsidR="003009E6" w:rsidRPr="00340B3A">
        <w:rPr>
          <w:rFonts w:ascii="Verdana" w:hAnsi="Verdana" w:cs="Times New Roman"/>
        </w:rPr>
        <w:t>To avoid potential conflicts with the attest</w:t>
      </w:r>
      <w:r w:rsidR="00835116" w:rsidRPr="00340B3A">
        <w:rPr>
          <w:rFonts w:ascii="Verdana" w:hAnsi="Verdana" w:cs="Times New Roman"/>
        </w:rPr>
        <w:t>ation</w:t>
      </w:r>
      <w:r w:rsidR="003009E6" w:rsidRPr="00340B3A">
        <w:rPr>
          <w:rFonts w:ascii="Verdana" w:hAnsi="Verdana" w:cs="Times New Roman"/>
        </w:rPr>
        <w:t xml:space="preserve"> standards, we recommend that m</w:t>
      </w:r>
      <w:r w:rsidR="00D065A7" w:rsidRPr="00340B3A">
        <w:rPr>
          <w:rFonts w:ascii="Verdana" w:hAnsi="Verdana" w:cs="Times New Roman"/>
        </w:rPr>
        <w:t xml:space="preserve">anagement prepare a single overall response to the </w:t>
      </w:r>
      <w:r w:rsidR="00BD1C86" w:rsidRPr="00340B3A">
        <w:rPr>
          <w:rFonts w:ascii="Verdana" w:hAnsi="Verdana" w:cs="Times New Roman"/>
        </w:rPr>
        <w:t>AUP</w:t>
      </w:r>
      <w:r w:rsidR="00D065A7" w:rsidRPr="00340B3A">
        <w:rPr>
          <w:rFonts w:ascii="Verdana" w:hAnsi="Verdana" w:cs="Times New Roman"/>
        </w:rPr>
        <w:t xml:space="preserve"> report.  If management chooses </w:t>
      </w:r>
      <w:r w:rsidR="00D065A7" w:rsidRPr="00340B3A">
        <w:rPr>
          <w:rFonts w:ascii="Verdana" w:hAnsi="Verdana" w:cs="Times New Roman"/>
          <w:b/>
        </w:rPr>
        <w:t xml:space="preserve">not </w:t>
      </w:r>
      <w:r w:rsidR="00D065A7" w:rsidRPr="00340B3A">
        <w:rPr>
          <w:rFonts w:ascii="Verdana" w:hAnsi="Verdana" w:cs="Times New Roman"/>
        </w:rPr>
        <w:t xml:space="preserve">to respond </w:t>
      </w:r>
      <w:r w:rsidR="009A5193" w:rsidRPr="00340B3A">
        <w:rPr>
          <w:rFonts w:ascii="Verdana" w:hAnsi="Verdana" w:cs="Times New Roman"/>
        </w:rPr>
        <w:t xml:space="preserve">to </w:t>
      </w:r>
      <w:r w:rsidR="00D065A7" w:rsidRPr="00340B3A">
        <w:rPr>
          <w:rFonts w:ascii="Verdana" w:hAnsi="Verdana" w:cs="Times New Roman"/>
        </w:rPr>
        <w:t xml:space="preserve">the </w:t>
      </w:r>
      <w:r w:rsidR="00BD1C86" w:rsidRPr="00340B3A">
        <w:rPr>
          <w:rFonts w:ascii="Verdana" w:hAnsi="Verdana" w:cs="Times New Roman"/>
        </w:rPr>
        <w:t>AUP</w:t>
      </w:r>
      <w:r w:rsidR="009A5193" w:rsidRPr="00340B3A">
        <w:rPr>
          <w:rFonts w:ascii="Verdana" w:hAnsi="Verdana" w:cs="Times New Roman"/>
        </w:rPr>
        <w:t xml:space="preserve"> </w:t>
      </w:r>
      <w:r w:rsidR="00F247D2" w:rsidRPr="00340B3A">
        <w:rPr>
          <w:rFonts w:ascii="Verdana" w:hAnsi="Verdana" w:cs="Times New Roman"/>
        </w:rPr>
        <w:t>finding</w:t>
      </w:r>
      <w:r w:rsidR="009A5193" w:rsidRPr="00340B3A">
        <w:rPr>
          <w:rFonts w:ascii="Verdana" w:hAnsi="Verdana" w:cs="Times New Roman"/>
        </w:rPr>
        <w:t>s at all</w:t>
      </w:r>
      <w:r w:rsidR="00D065A7" w:rsidRPr="00340B3A">
        <w:rPr>
          <w:rFonts w:ascii="Verdana" w:hAnsi="Verdana" w:cs="Times New Roman"/>
        </w:rPr>
        <w:t xml:space="preserve">, the practitioner must include a </w:t>
      </w:r>
      <w:r w:rsidR="00773CBA" w:rsidRPr="00340B3A">
        <w:rPr>
          <w:rFonts w:ascii="Verdana" w:hAnsi="Verdana" w:cs="Times New Roman"/>
        </w:rPr>
        <w:t xml:space="preserve">statement that </w:t>
      </w:r>
      <w:r w:rsidR="00D065A7" w:rsidRPr="00340B3A">
        <w:rPr>
          <w:rFonts w:ascii="Verdana" w:hAnsi="Verdana" w:cs="Times New Roman"/>
        </w:rPr>
        <w:t>“</w:t>
      </w:r>
      <w:r w:rsidR="00773CBA" w:rsidRPr="00340B3A">
        <w:rPr>
          <w:rFonts w:ascii="Verdana" w:hAnsi="Verdana" w:cs="Times New Roman"/>
        </w:rPr>
        <w:t xml:space="preserve">management declined to respond to the </w:t>
      </w:r>
      <w:r w:rsidR="00F247D2" w:rsidRPr="00340B3A">
        <w:rPr>
          <w:rFonts w:ascii="Verdana" w:hAnsi="Verdana" w:cs="Times New Roman"/>
        </w:rPr>
        <w:t>finding</w:t>
      </w:r>
      <w:r w:rsidR="00773CBA" w:rsidRPr="00340B3A">
        <w:rPr>
          <w:rFonts w:ascii="Verdana" w:hAnsi="Verdana" w:cs="Times New Roman"/>
        </w:rPr>
        <w:t>s</w:t>
      </w:r>
      <w:r w:rsidR="00D065A7" w:rsidRPr="00340B3A">
        <w:rPr>
          <w:rFonts w:ascii="Verdana" w:hAnsi="Verdana" w:cs="Times New Roman"/>
        </w:rPr>
        <w:t xml:space="preserve"> or provide a plan of corrective action</w:t>
      </w:r>
      <w:r w:rsidR="00773CBA" w:rsidRPr="00340B3A">
        <w:rPr>
          <w:rFonts w:ascii="Verdana" w:hAnsi="Verdana" w:cs="Times New Roman"/>
        </w:rPr>
        <w:t>.</w:t>
      </w:r>
      <w:r w:rsidR="00D065A7" w:rsidRPr="00340B3A">
        <w:rPr>
          <w:rFonts w:ascii="Verdana" w:hAnsi="Verdana" w:cs="Times New Roman"/>
        </w:rPr>
        <w:t>”</w:t>
      </w:r>
      <w:r w:rsidR="00600AFA" w:rsidRPr="00340B3A">
        <w:rPr>
          <w:rFonts w:ascii="Verdana" w:hAnsi="Verdana" w:cs="Times New Roman"/>
        </w:rPr>
        <w:t xml:space="preserve">  If no </w:t>
      </w:r>
      <w:r w:rsidR="00D31227" w:rsidRPr="00340B3A">
        <w:rPr>
          <w:rFonts w:ascii="Verdana" w:hAnsi="Verdana" w:cs="Times New Roman"/>
        </w:rPr>
        <w:t>exceptions are</w:t>
      </w:r>
      <w:r w:rsidR="00600AFA" w:rsidRPr="00340B3A">
        <w:rPr>
          <w:rFonts w:ascii="Verdana" w:hAnsi="Verdana" w:cs="Times New Roman"/>
        </w:rPr>
        <w:t xml:space="preserve"> </w:t>
      </w:r>
      <w:r w:rsidR="00835116" w:rsidRPr="00340B3A">
        <w:rPr>
          <w:rFonts w:ascii="Verdana" w:hAnsi="Verdana" w:cs="Times New Roman"/>
        </w:rPr>
        <w:t>found</w:t>
      </w:r>
      <w:r w:rsidR="00600AFA" w:rsidRPr="00340B3A">
        <w:rPr>
          <w:rFonts w:ascii="Verdana" w:hAnsi="Verdana" w:cs="Times New Roman"/>
        </w:rPr>
        <w:t xml:space="preserve"> when performing a procedure, “no exceptions </w:t>
      </w:r>
      <w:r w:rsidR="003009E6" w:rsidRPr="00340B3A">
        <w:rPr>
          <w:rFonts w:ascii="Verdana" w:hAnsi="Verdana" w:cs="Times New Roman"/>
        </w:rPr>
        <w:t xml:space="preserve">were found as a result of </w:t>
      </w:r>
      <w:r w:rsidR="00B35DC3" w:rsidRPr="00340B3A">
        <w:rPr>
          <w:rFonts w:ascii="Verdana" w:hAnsi="Verdana" w:cs="Times New Roman"/>
        </w:rPr>
        <w:t>this</w:t>
      </w:r>
      <w:r w:rsidR="003009E6" w:rsidRPr="00340B3A">
        <w:rPr>
          <w:rFonts w:ascii="Verdana" w:hAnsi="Verdana" w:cs="Times New Roman"/>
        </w:rPr>
        <w:t xml:space="preserve"> procedure</w:t>
      </w:r>
      <w:r w:rsidR="00600AFA" w:rsidRPr="00340B3A">
        <w:rPr>
          <w:rFonts w:ascii="Verdana" w:hAnsi="Verdana" w:cs="Times New Roman"/>
        </w:rPr>
        <w:t xml:space="preserve">” is an acceptable result in the </w:t>
      </w:r>
      <w:r w:rsidR="00BD1C86" w:rsidRPr="00340B3A">
        <w:rPr>
          <w:rFonts w:ascii="Verdana" w:hAnsi="Verdana" w:cs="Times New Roman"/>
        </w:rPr>
        <w:t>AUP</w:t>
      </w:r>
      <w:r w:rsidR="00600AFA" w:rsidRPr="00340B3A">
        <w:rPr>
          <w:rFonts w:ascii="Verdana" w:hAnsi="Verdana" w:cs="Times New Roman"/>
        </w:rPr>
        <w:t xml:space="preserve"> report.</w:t>
      </w:r>
      <w:r w:rsidR="00536E2E" w:rsidRPr="00340B3A">
        <w:rPr>
          <w:rFonts w:ascii="Verdana" w:hAnsi="Verdana" w:cs="Times New Roman"/>
        </w:rPr>
        <w:t xml:space="preserve"> </w:t>
      </w:r>
    </w:p>
    <w:p w14:paraId="5485ED8E" w14:textId="5E65EA69" w:rsidR="00773CBA" w:rsidRPr="00340B3A" w:rsidRDefault="00C25B14" w:rsidP="00773CBA">
      <w:pPr>
        <w:jc w:val="both"/>
        <w:rPr>
          <w:rFonts w:ascii="Verdana" w:hAnsi="Verdana" w:cs="Times New Roman"/>
        </w:rPr>
      </w:pPr>
      <w:r w:rsidRPr="00340B3A">
        <w:rPr>
          <w:rFonts w:ascii="Verdana" w:hAnsi="Verdana" w:cs="Times New Roman"/>
        </w:rPr>
        <w:t xml:space="preserve">To avoid the possible exposure of entity </w:t>
      </w:r>
      <w:r w:rsidR="003B58F2" w:rsidRPr="00340B3A">
        <w:rPr>
          <w:rFonts w:ascii="Verdana" w:hAnsi="Verdana" w:cs="Times New Roman"/>
        </w:rPr>
        <w:t>i</w:t>
      </w:r>
      <w:r w:rsidRPr="00340B3A">
        <w:rPr>
          <w:rFonts w:ascii="Verdana" w:hAnsi="Verdana" w:cs="Times New Roman"/>
        </w:rPr>
        <w:t xml:space="preserve">nformation </w:t>
      </w:r>
      <w:r w:rsidR="003B58F2" w:rsidRPr="00340B3A">
        <w:rPr>
          <w:rFonts w:ascii="Verdana" w:hAnsi="Verdana" w:cs="Times New Roman"/>
        </w:rPr>
        <w:t>t</w:t>
      </w:r>
      <w:r w:rsidRPr="00340B3A">
        <w:rPr>
          <w:rFonts w:ascii="Verdana" w:hAnsi="Verdana" w:cs="Times New Roman"/>
        </w:rPr>
        <w:t>echnology vulnerabilities</w:t>
      </w:r>
      <w:r w:rsidR="0099012F" w:rsidRPr="00340B3A">
        <w:rPr>
          <w:rFonts w:ascii="Verdana" w:hAnsi="Verdana" w:cs="Times New Roman"/>
        </w:rPr>
        <w:t>, we ask that results of</w:t>
      </w:r>
      <w:r w:rsidR="00536E2E" w:rsidRPr="00340B3A">
        <w:rPr>
          <w:rFonts w:ascii="Verdana" w:hAnsi="Verdana" w:cs="Times New Roman"/>
        </w:rPr>
        <w:t xml:space="preserve"> the </w:t>
      </w:r>
      <w:bookmarkStart w:id="24" w:name="_Hlk78800089"/>
      <w:bookmarkStart w:id="25" w:name="_Hlk78804144"/>
      <w:r w:rsidR="00536E2E" w:rsidRPr="00340B3A">
        <w:rPr>
          <w:rFonts w:ascii="Verdana" w:hAnsi="Verdana" w:cs="Times New Roman"/>
        </w:rPr>
        <w:t xml:space="preserve">Information Technology Disaster Recovery/Business Continuity </w:t>
      </w:r>
      <w:r w:rsidR="00BD1C86" w:rsidRPr="00340B3A">
        <w:rPr>
          <w:rFonts w:ascii="Verdana" w:hAnsi="Verdana" w:cs="Times New Roman"/>
        </w:rPr>
        <w:t>S</w:t>
      </w:r>
      <w:r w:rsidR="00536E2E" w:rsidRPr="00340B3A">
        <w:rPr>
          <w:rFonts w:ascii="Verdana" w:hAnsi="Verdana" w:cs="Times New Roman"/>
        </w:rPr>
        <w:t>AUP</w:t>
      </w:r>
      <w:bookmarkEnd w:id="24"/>
      <w:r w:rsidR="00536E2E" w:rsidRPr="00340B3A">
        <w:rPr>
          <w:rFonts w:ascii="Verdana" w:hAnsi="Verdana" w:cs="Times New Roman"/>
        </w:rPr>
        <w:t xml:space="preserve"> </w:t>
      </w:r>
      <w:bookmarkEnd w:id="25"/>
      <w:r w:rsidR="007E18C7" w:rsidRPr="00340B3A">
        <w:rPr>
          <w:rFonts w:ascii="Verdana" w:hAnsi="Verdana" w:cs="Times New Roman"/>
        </w:rPr>
        <w:t>testing</w:t>
      </w:r>
      <w:r w:rsidR="0099012F" w:rsidRPr="00340B3A">
        <w:rPr>
          <w:rFonts w:ascii="Verdana" w:hAnsi="Verdana" w:cs="Times New Roman"/>
        </w:rPr>
        <w:t xml:space="preserve"> </w:t>
      </w:r>
      <w:r w:rsidR="006F512D" w:rsidRPr="00340B3A">
        <w:rPr>
          <w:rFonts w:ascii="Verdana" w:hAnsi="Verdana" w:cs="Times New Roman"/>
        </w:rPr>
        <w:t xml:space="preserve">(Procedure 13) </w:t>
      </w:r>
      <w:r w:rsidR="0099012F" w:rsidRPr="00340B3A">
        <w:rPr>
          <w:rFonts w:ascii="Verdana" w:hAnsi="Verdana" w:cs="Times New Roman"/>
        </w:rPr>
        <w:t xml:space="preserve">be discussed with management and </w:t>
      </w:r>
      <w:r w:rsidR="0099012F" w:rsidRPr="00340B3A">
        <w:rPr>
          <w:rFonts w:ascii="Verdana" w:hAnsi="Verdana" w:cs="Times New Roman"/>
          <w:b/>
        </w:rPr>
        <w:t>not shown within the AUP report</w:t>
      </w:r>
      <w:r w:rsidR="0099012F" w:rsidRPr="00340B3A">
        <w:rPr>
          <w:rFonts w:ascii="Verdana" w:hAnsi="Verdana" w:cs="Times New Roman"/>
        </w:rPr>
        <w:t>. Instead</w:t>
      </w:r>
      <w:r w:rsidR="00BD0A4B" w:rsidRPr="00340B3A">
        <w:rPr>
          <w:rFonts w:ascii="Verdana" w:hAnsi="Verdana" w:cs="Times New Roman"/>
        </w:rPr>
        <w:t>,</w:t>
      </w:r>
      <w:r w:rsidR="0099012F" w:rsidRPr="00340B3A">
        <w:rPr>
          <w:rFonts w:ascii="Verdana" w:hAnsi="Verdana" w:cs="Times New Roman"/>
        </w:rPr>
        <w:t xml:space="preserve"> we ask that each </w:t>
      </w:r>
      <w:r w:rsidR="008975C9" w:rsidRPr="00340B3A">
        <w:rPr>
          <w:rFonts w:ascii="Verdana" w:hAnsi="Verdana" w:cs="Times New Roman"/>
        </w:rPr>
        <w:t>procedure</w:t>
      </w:r>
      <w:r w:rsidR="0099012F" w:rsidRPr="00340B3A">
        <w:rPr>
          <w:rFonts w:ascii="Verdana" w:hAnsi="Verdana" w:cs="Times New Roman"/>
        </w:rPr>
        <w:t xml:space="preserve"> </w:t>
      </w:r>
      <w:r w:rsidR="008975C9" w:rsidRPr="00340B3A">
        <w:rPr>
          <w:rFonts w:ascii="Verdana" w:hAnsi="Verdana" w:cs="Times New Roman"/>
        </w:rPr>
        <w:t>under</w:t>
      </w:r>
      <w:r w:rsidR="0099012F" w:rsidRPr="00340B3A">
        <w:rPr>
          <w:rFonts w:ascii="Verdana" w:hAnsi="Verdana" w:cs="Times New Roman"/>
        </w:rPr>
        <w:t xml:space="preserve"> the Information Technology Disaster Recovery/Business Continuity AUP </w:t>
      </w:r>
      <w:r w:rsidR="008975C9" w:rsidRPr="00340B3A">
        <w:rPr>
          <w:rFonts w:ascii="Verdana" w:hAnsi="Verdana" w:cs="Times New Roman"/>
        </w:rPr>
        <w:t xml:space="preserve">category </w:t>
      </w:r>
      <w:r w:rsidR="0099012F" w:rsidRPr="00340B3A">
        <w:rPr>
          <w:rFonts w:ascii="Verdana" w:hAnsi="Verdana" w:cs="Times New Roman"/>
        </w:rPr>
        <w:t xml:space="preserve">be </w:t>
      </w:r>
      <w:r w:rsidR="00536E2E" w:rsidRPr="00340B3A">
        <w:rPr>
          <w:rFonts w:ascii="Verdana" w:hAnsi="Verdana" w:cs="Times New Roman"/>
        </w:rPr>
        <w:t>followed by the statement</w:t>
      </w:r>
      <w:r w:rsidR="00BD0A4B" w:rsidRPr="00340B3A">
        <w:rPr>
          <w:rFonts w:ascii="Verdana" w:hAnsi="Verdana" w:cs="Times New Roman"/>
        </w:rPr>
        <w:t>,</w:t>
      </w:r>
      <w:r w:rsidR="00536E2E" w:rsidRPr="00340B3A">
        <w:rPr>
          <w:rFonts w:ascii="Verdana" w:hAnsi="Verdana" w:cs="Times New Roman"/>
        </w:rPr>
        <w:t xml:space="preserve"> “</w:t>
      </w:r>
      <w:r w:rsidR="00536E2E" w:rsidRPr="00340B3A">
        <w:rPr>
          <w:rFonts w:ascii="Verdana" w:eastAsia="Calibri" w:hAnsi="Verdana" w:cs="Times New Roman"/>
          <w:b/>
        </w:rPr>
        <w:t>We performed the procedure and discussed the results with management.”</w:t>
      </w:r>
      <w:r w:rsidR="0099012F" w:rsidRPr="00340B3A">
        <w:rPr>
          <w:rFonts w:ascii="Verdana" w:eastAsia="Calibri" w:hAnsi="Verdana" w:cs="Times New Roman"/>
          <w:b/>
        </w:rPr>
        <w:t xml:space="preserve"> </w:t>
      </w:r>
      <w:r w:rsidR="0099012F" w:rsidRPr="00340B3A">
        <w:rPr>
          <w:rFonts w:ascii="Verdana" w:eastAsia="Calibri" w:hAnsi="Verdana" w:cs="Times New Roman"/>
          <w:i/>
        </w:rPr>
        <w:t>Note:</w:t>
      </w:r>
      <w:r w:rsidR="0099012F" w:rsidRPr="00340B3A">
        <w:rPr>
          <w:rFonts w:ascii="Verdana" w:eastAsia="Calibri" w:hAnsi="Verdana" w:cs="Times New Roman"/>
          <w:b/>
        </w:rPr>
        <w:t xml:space="preserve"> </w:t>
      </w:r>
      <w:r w:rsidR="00536E2E" w:rsidRPr="00340B3A">
        <w:rPr>
          <w:rFonts w:ascii="Verdana" w:eastAsia="Calibri" w:hAnsi="Verdana" w:cs="Times New Roman"/>
          <w:i/>
        </w:rPr>
        <w:t xml:space="preserve">The practitioner should maintain documentation of </w:t>
      </w:r>
      <w:r w:rsidR="00536E2E" w:rsidRPr="00340B3A">
        <w:rPr>
          <w:rFonts w:ascii="Verdana" w:hAnsi="Verdana" w:cs="Times New Roman"/>
          <w:i/>
        </w:rPr>
        <w:t xml:space="preserve">Information Technology Disaster Recovery/Business Continuity AUP testing and </w:t>
      </w:r>
      <w:r w:rsidR="00124846" w:rsidRPr="00340B3A">
        <w:rPr>
          <w:rFonts w:ascii="Verdana" w:hAnsi="Verdana" w:cs="Times New Roman"/>
          <w:i/>
        </w:rPr>
        <w:t xml:space="preserve">subsequent </w:t>
      </w:r>
      <w:r w:rsidR="00536E2E" w:rsidRPr="00340B3A">
        <w:rPr>
          <w:rFonts w:ascii="Verdana" w:hAnsi="Verdana" w:cs="Times New Roman"/>
          <w:i/>
        </w:rPr>
        <w:t>results in the engagement workpapers</w:t>
      </w:r>
      <w:r w:rsidR="00536E2E" w:rsidRPr="00340B3A">
        <w:rPr>
          <w:rFonts w:ascii="Verdana" w:hAnsi="Verdana" w:cs="Times New Roman"/>
        </w:rPr>
        <w:t>.</w:t>
      </w:r>
    </w:p>
    <w:p w14:paraId="4FA2F1C7" w14:textId="77777777" w:rsidR="006D3731" w:rsidRDefault="00ED74D2" w:rsidP="001D2803">
      <w:pPr>
        <w:jc w:val="both"/>
        <w:rPr>
          <w:rFonts w:ascii="Verdana" w:hAnsi="Verdana" w:cs="Times New Roman"/>
        </w:rPr>
      </w:pPr>
      <w:r w:rsidRPr="00340B3A">
        <w:rPr>
          <w:rFonts w:ascii="Verdana" w:hAnsi="Verdana" w:cs="Times New Roman"/>
        </w:rPr>
        <w:t>T</w:t>
      </w:r>
      <w:r w:rsidR="001D2803" w:rsidRPr="00340B3A">
        <w:rPr>
          <w:rFonts w:ascii="Verdana" w:hAnsi="Verdana" w:cs="Times New Roman"/>
        </w:rPr>
        <w:t xml:space="preserve">he LLA does not </w:t>
      </w:r>
      <w:r w:rsidR="003B4620" w:rsidRPr="00340B3A">
        <w:rPr>
          <w:rFonts w:ascii="Verdana" w:hAnsi="Verdana" w:cs="Times New Roman"/>
        </w:rPr>
        <w:t xml:space="preserve">intend </w:t>
      </w:r>
      <w:r w:rsidR="001D2803" w:rsidRPr="00340B3A">
        <w:rPr>
          <w:rFonts w:ascii="Verdana" w:hAnsi="Verdana" w:cs="Times New Roman"/>
        </w:rPr>
        <w:t xml:space="preserve">to penalize entities for </w:t>
      </w:r>
      <w:r w:rsidR="00672CCC" w:rsidRPr="00340B3A">
        <w:rPr>
          <w:rFonts w:ascii="Verdana" w:hAnsi="Verdana" w:cs="Times New Roman"/>
        </w:rPr>
        <w:t>exceptions</w:t>
      </w:r>
      <w:r w:rsidR="001D2803" w:rsidRPr="00340B3A">
        <w:rPr>
          <w:rFonts w:ascii="Verdana" w:hAnsi="Verdana" w:cs="Times New Roman"/>
        </w:rPr>
        <w:t xml:space="preserve"> that do not directly correspond to control risks. Accordingly, if the </w:t>
      </w:r>
      <w:r w:rsidR="00672CCC" w:rsidRPr="00340B3A">
        <w:rPr>
          <w:rFonts w:ascii="Verdana" w:hAnsi="Verdana" w:cs="Times New Roman"/>
        </w:rPr>
        <w:t>practitioner found exceptions</w:t>
      </w:r>
      <w:r w:rsidR="001D2803" w:rsidRPr="00340B3A">
        <w:rPr>
          <w:rFonts w:ascii="Verdana" w:hAnsi="Verdana" w:cs="Times New Roman"/>
        </w:rPr>
        <w:t xml:space="preserve"> within </w:t>
      </w:r>
    </w:p>
    <w:p w14:paraId="30F73FF9" w14:textId="77777777" w:rsidR="001D2803" w:rsidRPr="00340B3A" w:rsidRDefault="001D2803" w:rsidP="001D2803">
      <w:pPr>
        <w:jc w:val="both"/>
        <w:rPr>
          <w:rFonts w:ascii="Verdana" w:hAnsi="Verdana" w:cs="Times New Roman"/>
        </w:rPr>
      </w:pPr>
      <w:r w:rsidRPr="00340B3A">
        <w:rPr>
          <w:rFonts w:ascii="Verdana" w:hAnsi="Verdana" w:cs="Times New Roman"/>
        </w:rPr>
        <w:lastRenderedPageBreak/>
        <w:t xml:space="preserve">an AUP category, based strictly on the wording of the procedure, but the practitioner believes that compensating controls </w:t>
      </w:r>
      <w:r w:rsidRPr="00340B3A">
        <w:rPr>
          <w:rFonts w:ascii="Verdana" w:hAnsi="Verdana" w:cs="Times New Roman"/>
          <w:b/>
          <w:u w:val="single"/>
        </w:rPr>
        <w:t>fully</w:t>
      </w:r>
      <w:r w:rsidRPr="00340B3A">
        <w:rPr>
          <w:rFonts w:ascii="Verdana" w:hAnsi="Verdana" w:cs="Times New Roman"/>
        </w:rPr>
        <w:t xml:space="preserve"> mitigated the underlying control risk, the entity may report no </w:t>
      </w:r>
      <w:r w:rsidR="00672CCC" w:rsidRPr="00340B3A">
        <w:rPr>
          <w:rFonts w:ascii="Verdana" w:hAnsi="Verdana" w:cs="Times New Roman"/>
        </w:rPr>
        <w:t>exceptions</w:t>
      </w:r>
      <w:r w:rsidRPr="00340B3A">
        <w:rPr>
          <w:rFonts w:ascii="Verdana" w:hAnsi="Verdana" w:cs="Times New Roman"/>
        </w:rPr>
        <w:t xml:space="preserve">. </w:t>
      </w:r>
      <w:r w:rsidR="003B58F2" w:rsidRPr="00340B3A">
        <w:rPr>
          <w:rFonts w:ascii="Verdana" w:hAnsi="Verdana" w:cs="Times New Roman"/>
        </w:rPr>
        <w:t>T</w:t>
      </w:r>
      <w:r w:rsidRPr="00340B3A">
        <w:rPr>
          <w:rFonts w:ascii="Verdana" w:hAnsi="Verdana" w:cs="Times New Roman"/>
        </w:rPr>
        <w:t xml:space="preserve">he practitioner should maintain documentation of compensating controls in the engagement workpapers.  </w:t>
      </w:r>
    </w:p>
    <w:p w14:paraId="6BA52A5F" w14:textId="3C971EED" w:rsidR="006F512D" w:rsidRPr="00340B3A" w:rsidRDefault="006F512D" w:rsidP="00263767">
      <w:pPr>
        <w:jc w:val="both"/>
        <w:rPr>
          <w:rFonts w:ascii="Verdana" w:hAnsi="Verdana" w:cs="Times New Roman"/>
          <w:b/>
          <w:i/>
          <w:u w:val="single"/>
        </w:rPr>
      </w:pPr>
      <w:bookmarkStart w:id="26" w:name="SAUP_EXCEPTIONS_FINDINGS"/>
      <w:r w:rsidRPr="00340B3A">
        <w:rPr>
          <w:rFonts w:ascii="Verdana" w:hAnsi="Verdana" w:cs="Times New Roman"/>
          <w:b/>
          <w:i/>
          <w:u w:val="single"/>
        </w:rPr>
        <w:t>Statewide Agreed-Upon Procedures Exceptions and the Schedule of Audit Findings</w:t>
      </w:r>
    </w:p>
    <w:bookmarkEnd w:id="26"/>
    <w:p w14:paraId="185DEFB4" w14:textId="4CFF7164" w:rsidR="004338D6" w:rsidRPr="00340B3A" w:rsidRDefault="006F512D" w:rsidP="00263767">
      <w:pPr>
        <w:jc w:val="both"/>
        <w:rPr>
          <w:rFonts w:ascii="Verdana" w:hAnsi="Verdana" w:cs="Times New Roman"/>
        </w:rPr>
      </w:pPr>
      <w:r w:rsidRPr="00340B3A">
        <w:rPr>
          <w:rFonts w:ascii="Verdana" w:hAnsi="Verdana" w:cs="Times New Roman"/>
        </w:rPr>
        <w:t>T</w:t>
      </w:r>
      <w:r w:rsidR="00773CBA" w:rsidRPr="00340B3A">
        <w:rPr>
          <w:rFonts w:ascii="Verdana" w:hAnsi="Verdana" w:cs="Times New Roman"/>
        </w:rPr>
        <w:t xml:space="preserve">he results of the AUPs do not change the practitioner’s separate responsibility to report significant deficiencies, material weaknesses, material noncompliance, etc. as part of the regular </w:t>
      </w:r>
      <w:r w:rsidR="00773CBA" w:rsidRPr="00340B3A">
        <w:rPr>
          <w:rFonts w:ascii="Verdana" w:hAnsi="Verdana" w:cs="Times New Roman"/>
          <w:u w:val="single"/>
        </w:rPr>
        <w:t>audit</w:t>
      </w:r>
      <w:r w:rsidR="00773CBA" w:rsidRPr="00340B3A">
        <w:rPr>
          <w:rFonts w:ascii="Verdana" w:hAnsi="Verdana" w:cs="Times New Roman"/>
        </w:rPr>
        <w:t xml:space="preserve"> engagement.  However, the practitioner should not include the AUP </w:t>
      </w:r>
      <w:r w:rsidR="00672CCC" w:rsidRPr="00340B3A">
        <w:rPr>
          <w:rFonts w:ascii="Verdana" w:hAnsi="Verdana" w:cs="Times New Roman"/>
        </w:rPr>
        <w:t>exceptions</w:t>
      </w:r>
      <w:r w:rsidR="00773CBA" w:rsidRPr="00340B3A">
        <w:rPr>
          <w:rFonts w:ascii="Verdana" w:hAnsi="Verdana" w:cs="Times New Roman"/>
        </w:rPr>
        <w:t xml:space="preserve"> or a reference to the </w:t>
      </w:r>
      <w:r w:rsidR="00672CCC" w:rsidRPr="00340B3A">
        <w:rPr>
          <w:rFonts w:ascii="Verdana" w:hAnsi="Verdana" w:cs="Times New Roman"/>
        </w:rPr>
        <w:t>exceptions</w:t>
      </w:r>
      <w:r w:rsidR="00773CBA" w:rsidRPr="00340B3A">
        <w:rPr>
          <w:rFonts w:ascii="Verdana" w:hAnsi="Verdana" w:cs="Times New Roman"/>
        </w:rPr>
        <w:t xml:space="preserve"> in the audit report’s schedule of findings unless an AUP or internal audit </w:t>
      </w:r>
      <w:r w:rsidR="00672CCC" w:rsidRPr="00340B3A">
        <w:rPr>
          <w:rFonts w:ascii="Verdana" w:hAnsi="Verdana" w:cs="Times New Roman"/>
        </w:rPr>
        <w:t>exception</w:t>
      </w:r>
      <w:r w:rsidR="00773CBA" w:rsidRPr="00340B3A">
        <w:rPr>
          <w:rFonts w:ascii="Verdana" w:hAnsi="Verdana" w:cs="Times New Roman"/>
        </w:rPr>
        <w:t xml:space="preserve"> rises to the level of a significant deficiency or material weakness and is included as a finding for purposes of the audit.  </w:t>
      </w:r>
      <w:r w:rsidR="004338D6" w:rsidRPr="00340B3A">
        <w:rPr>
          <w:rFonts w:ascii="Verdana" w:hAnsi="Verdana" w:cs="Times New Roman"/>
        </w:rPr>
        <w:t xml:space="preserve">Similarly, AUP </w:t>
      </w:r>
      <w:r w:rsidR="00672CCC" w:rsidRPr="00340B3A">
        <w:rPr>
          <w:rFonts w:ascii="Verdana" w:hAnsi="Verdana" w:cs="Times New Roman"/>
        </w:rPr>
        <w:t>exceptions</w:t>
      </w:r>
      <w:r w:rsidR="004338D6" w:rsidRPr="00340B3A">
        <w:rPr>
          <w:rFonts w:ascii="Verdana" w:hAnsi="Verdana" w:cs="Times New Roman"/>
        </w:rPr>
        <w:t xml:space="preserve"> should not be copied and pasted as findings in the LLA report submission portal unless they are addressed as findings in the audit report.</w:t>
      </w:r>
    </w:p>
    <w:p w14:paraId="2E716A77" w14:textId="5ADE8E50" w:rsidR="006F512D" w:rsidRPr="00340B3A" w:rsidRDefault="006F512D" w:rsidP="00F434F7">
      <w:pPr>
        <w:jc w:val="both"/>
        <w:rPr>
          <w:rFonts w:ascii="Verdana" w:hAnsi="Verdana" w:cs="Times New Roman"/>
          <w:b/>
          <w:i/>
          <w:u w:val="single"/>
        </w:rPr>
      </w:pPr>
      <w:bookmarkStart w:id="27" w:name="KNOWLEDGE_OUTSIDE_PROCEDURES"/>
      <w:r w:rsidRPr="00340B3A">
        <w:rPr>
          <w:rFonts w:ascii="Verdana" w:hAnsi="Verdana" w:cs="Times New Roman"/>
          <w:b/>
          <w:i/>
          <w:u w:val="single"/>
        </w:rPr>
        <w:t>Knowledge of Matters Outside Agreed-Upon Procedures</w:t>
      </w:r>
      <w:bookmarkEnd w:id="27"/>
    </w:p>
    <w:p w14:paraId="66C1815D" w14:textId="5D95101F" w:rsidR="006124AE" w:rsidRPr="00340B3A" w:rsidRDefault="00773CBA" w:rsidP="00F434F7">
      <w:pPr>
        <w:jc w:val="both"/>
        <w:rPr>
          <w:rFonts w:ascii="Verdana" w:hAnsi="Verdana" w:cs="Times New Roman"/>
        </w:rPr>
      </w:pPr>
      <w:r w:rsidRPr="00340B3A">
        <w:rPr>
          <w:rFonts w:ascii="Verdana" w:hAnsi="Verdana" w:cs="Times New Roman"/>
        </w:rPr>
        <w:t>Under the attest</w:t>
      </w:r>
      <w:r w:rsidR="00672CCC" w:rsidRPr="00340B3A">
        <w:rPr>
          <w:rFonts w:ascii="Verdana" w:hAnsi="Verdana" w:cs="Times New Roman"/>
        </w:rPr>
        <w:t>ation</w:t>
      </w:r>
      <w:r w:rsidRPr="00340B3A">
        <w:rPr>
          <w:rFonts w:ascii="Verdana" w:hAnsi="Verdana" w:cs="Times New Roman"/>
        </w:rPr>
        <w:t xml:space="preserve"> standards, </w:t>
      </w:r>
      <w:r w:rsidR="00F434F7" w:rsidRPr="00340B3A">
        <w:rPr>
          <w:rFonts w:ascii="Verdana" w:hAnsi="Verdana" w:cs="Times New Roman"/>
        </w:rPr>
        <w:t>the practitioner need not perform procedures beyond the procedures agreed to and acknowledged by the engaging party to be appropriate for the intended purpose of the engagement</w:t>
      </w:r>
      <w:r w:rsidR="00672CCC" w:rsidRPr="00340B3A">
        <w:rPr>
          <w:rFonts w:ascii="Verdana" w:hAnsi="Verdana" w:cs="Times New Roman"/>
        </w:rPr>
        <w:t xml:space="preserve">. </w:t>
      </w:r>
      <w:r w:rsidR="00F434F7" w:rsidRPr="00340B3A">
        <w:rPr>
          <w:rFonts w:ascii="Verdana" w:hAnsi="Verdana" w:cs="Times New Roman"/>
        </w:rPr>
        <w:t xml:space="preserve"> </w:t>
      </w:r>
      <w:r w:rsidR="00672CCC" w:rsidRPr="00340B3A">
        <w:rPr>
          <w:rFonts w:ascii="Verdana" w:hAnsi="Verdana" w:cs="Times New Roman"/>
        </w:rPr>
        <w:t>I</w:t>
      </w:r>
      <w:r w:rsidR="00F434F7" w:rsidRPr="00340B3A">
        <w:rPr>
          <w:rFonts w:ascii="Verdana" w:hAnsi="Verdana" w:cs="Times New Roman"/>
        </w:rPr>
        <w:t>f</w:t>
      </w:r>
      <w:r w:rsidR="00672CCC" w:rsidRPr="00340B3A">
        <w:rPr>
          <w:rFonts w:ascii="Verdana" w:hAnsi="Verdana" w:cs="Times New Roman"/>
        </w:rPr>
        <w:t>,</w:t>
      </w:r>
      <w:r w:rsidR="00F434F7" w:rsidRPr="00340B3A">
        <w:rPr>
          <w:rFonts w:ascii="Verdana" w:hAnsi="Verdana" w:cs="Times New Roman"/>
        </w:rPr>
        <w:t xml:space="preserve"> in connection with the application of the procedures and through the completion of the engagement, matters</w:t>
      </w:r>
      <w:r w:rsidR="00AC59F8" w:rsidRPr="00340B3A">
        <w:rPr>
          <w:rFonts w:ascii="Verdana" w:hAnsi="Verdana" w:cs="Times New Roman"/>
        </w:rPr>
        <w:t xml:space="preserve"> </w:t>
      </w:r>
      <w:r w:rsidR="00F434F7" w:rsidRPr="00340B3A">
        <w:rPr>
          <w:rFonts w:ascii="Verdana" w:hAnsi="Verdana" w:cs="Times New Roman"/>
        </w:rPr>
        <w:t>come to the practitioner's attention by other means that significantly contradict the subject matter referred to in the practitioner's report, the practitioner</w:t>
      </w:r>
      <w:r w:rsidR="00AC59F8" w:rsidRPr="00340B3A">
        <w:rPr>
          <w:rFonts w:ascii="Verdana" w:hAnsi="Verdana" w:cs="Times New Roman"/>
        </w:rPr>
        <w:t xml:space="preserve"> </w:t>
      </w:r>
      <w:r w:rsidR="00F434F7" w:rsidRPr="00340B3A">
        <w:rPr>
          <w:rFonts w:ascii="Verdana" w:hAnsi="Verdana" w:cs="Times New Roman"/>
        </w:rPr>
        <w:t>should discuss the matter with the engaging party and take appropriate action, including determining whether the practitioner's report should be revised</w:t>
      </w:r>
      <w:r w:rsidR="00AC59F8" w:rsidRPr="00340B3A">
        <w:rPr>
          <w:rFonts w:ascii="Verdana" w:hAnsi="Verdana" w:cs="Times New Roman"/>
        </w:rPr>
        <w:t xml:space="preserve"> </w:t>
      </w:r>
      <w:r w:rsidR="00F434F7" w:rsidRPr="00340B3A">
        <w:rPr>
          <w:rFonts w:ascii="Verdana" w:hAnsi="Verdana" w:cs="Times New Roman"/>
        </w:rPr>
        <w:t>to disclose the matter</w:t>
      </w:r>
      <w:r w:rsidR="00AC59F8" w:rsidRPr="00340B3A">
        <w:rPr>
          <w:rFonts w:ascii="Verdana" w:hAnsi="Verdana" w:cs="Times New Roman"/>
        </w:rPr>
        <w:t xml:space="preserve">. </w:t>
      </w:r>
      <w:r w:rsidR="00230F9C" w:rsidRPr="00340B3A">
        <w:rPr>
          <w:rFonts w:ascii="Verdana" w:hAnsi="Verdana" w:cs="Times New Roman"/>
        </w:rPr>
        <w:t>While the reporting of these matters with</w:t>
      </w:r>
      <w:r w:rsidR="00672CCC" w:rsidRPr="00340B3A">
        <w:rPr>
          <w:rFonts w:ascii="Verdana" w:hAnsi="Verdana" w:cs="Times New Roman"/>
        </w:rPr>
        <w:t>in</w:t>
      </w:r>
      <w:r w:rsidR="00230F9C" w:rsidRPr="00340B3A">
        <w:rPr>
          <w:rFonts w:ascii="Verdana" w:hAnsi="Verdana" w:cs="Times New Roman"/>
        </w:rPr>
        <w:t xml:space="preserve"> the AUP report is at the practitioner’s discretion, the practitioner still has an obligation to consider the associated risk/noncompliance as part of </w:t>
      </w:r>
      <w:r w:rsidR="00672CCC" w:rsidRPr="00340B3A">
        <w:rPr>
          <w:rFonts w:ascii="Verdana" w:hAnsi="Verdana" w:cs="Times New Roman"/>
        </w:rPr>
        <w:t>the</w:t>
      </w:r>
      <w:r w:rsidR="00230F9C" w:rsidRPr="00340B3A">
        <w:rPr>
          <w:rFonts w:ascii="Verdana" w:hAnsi="Verdana" w:cs="Times New Roman"/>
        </w:rPr>
        <w:t xml:space="preserve"> </w:t>
      </w:r>
      <w:r w:rsidR="00230F9C" w:rsidRPr="00340B3A">
        <w:rPr>
          <w:rFonts w:ascii="Verdana" w:hAnsi="Verdana" w:cs="Times New Roman"/>
          <w:u w:val="single"/>
        </w:rPr>
        <w:t>audit</w:t>
      </w:r>
      <w:r w:rsidR="00230F9C" w:rsidRPr="00340B3A">
        <w:rPr>
          <w:rFonts w:ascii="Verdana" w:hAnsi="Verdana" w:cs="Times New Roman"/>
        </w:rPr>
        <w:t xml:space="preserve">.  </w:t>
      </w:r>
    </w:p>
    <w:p w14:paraId="288CB6BC" w14:textId="75119782" w:rsidR="00773CBA" w:rsidRDefault="006124AE" w:rsidP="00263767">
      <w:pPr>
        <w:jc w:val="both"/>
        <w:rPr>
          <w:rFonts w:ascii="Verdana" w:hAnsi="Verdana" w:cs="Times New Roman"/>
        </w:rPr>
      </w:pPr>
      <w:r w:rsidRPr="00340B3A">
        <w:rPr>
          <w:rFonts w:ascii="Verdana" w:hAnsi="Verdana" w:cs="Times New Roman"/>
        </w:rPr>
        <w:t xml:space="preserve">If the practitioner has gained “knowledge of matters outside agreed-upon procedures” related to fraud, theft, or the pledge/loan/donation of public funds (LA Const. Art. 7, </w:t>
      </w:r>
      <w:r w:rsidRPr="00771C6C">
        <w:rPr>
          <w:rFonts w:ascii="Verdana" w:hAnsi="Verdana" w:cs="Times New Roman"/>
        </w:rPr>
        <w:t>Section 14</w:t>
      </w:r>
      <w:r w:rsidR="00845BF4" w:rsidRPr="00771C6C">
        <w:rPr>
          <w:rStyle w:val="FootnoteReference"/>
          <w:rFonts w:ascii="Verdana" w:hAnsi="Verdana" w:cs="Times New Roman"/>
        </w:rPr>
        <w:footnoteReference w:id="5"/>
      </w:r>
      <w:r w:rsidRPr="00771C6C">
        <w:rPr>
          <w:rFonts w:ascii="Verdana" w:hAnsi="Verdana" w:cs="Times New Roman"/>
        </w:rPr>
        <w:t xml:space="preserve">), </w:t>
      </w:r>
      <w:r w:rsidRPr="00771C6C">
        <w:rPr>
          <w:rFonts w:ascii="Verdana" w:hAnsi="Verdana" w:cs="Times New Roman"/>
          <w:u w:val="single"/>
        </w:rPr>
        <w:t xml:space="preserve">and the practitioner does not include </w:t>
      </w:r>
      <w:r w:rsidR="00F70499" w:rsidRPr="00771C6C">
        <w:rPr>
          <w:rFonts w:ascii="Verdana" w:hAnsi="Verdana" w:cs="Times New Roman"/>
          <w:u w:val="single"/>
        </w:rPr>
        <w:t xml:space="preserve">these matters </w:t>
      </w:r>
      <w:r w:rsidRPr="00771C6C">
        <w:rPr>
          <w:rFonts w:ascii="Verdana" w:hAnsi="Verdana" w:cs="Times New Roman"/>
          <w:u w:val="single"/>
        </w:rPr>
        <w:t xml:space="preserve">in </w:t>
      </w:r>
      <w:r w:rsidRPr="00771C6C">
        <w:rPr>
          <w:rFonts w:ascii="Verdana" w:hAnsi="Verdana" w:cs="Times New Roman"/>
          <w:u w:val="single"/>
        </w:rPr>
        <w:lastRenderedPageBreak/>
        <w:t>either the AUP report or in the audit report</w:t>
      </w:r>
      <w:r w:rsidRPr="00771C6C">
        <w:rPr>
          <w:rFonts w:ascii="Verdana" w:hAnsi="Verdana" w:cs="Times New Roman"/>
        </w:rPr>
        <w:t xml:space="preserve">, the practitioner </w:t>
      </w:r>
      <w:r w:rsidRPr="00771C6C">
        <w:rPr>
          <w:rFonts w:ascii="Verdana" w:hAnsi="Verdana" w:cs="Times New Roman"/>
          <w:b/>
          <w:u w:val="single"/>
        </w:rPr>
        <w:t>MUST</w:t>
      </w:r>
      <w:r w:rsidRPr="00771C6C">
        <w:rPr>
          <w:rFonts w:ascii="Verdana" w:hAnsi="Verdana" w:cs="Times New Roman"/>
        </w:rPr>
        <w:t xml:space="preserve"> contact the LLA to discuss</w:t>
      </w:r>
      <w:r w:rsidR="00733963" w:rsidRPr="00771C6C">
        <w:rPr>
          <w:rFonts w:ascii="Verdana" w:hAnsi="Verdana" w:cs="Times New Roman"/>
        </w:rPr>
        <w:t xml:space="preserve"> before submitting the reports</w:t>
      </w:r>
      <w:r w:rsidR="00552893" w:rsidRPr="00771C6C">
        <w:rPr>
          <w:rFonts w:ascii="Verdana" w:hAnsi="Verdana" w:cs="Times New Roman"/>
        </w:rPr>
        <w:t>.</w:t>
      </w:r>
    </w:p>
    <w:p w14:paraId="394B1DFE" w14:textId="49F8EFCB" w:rsidR="00773CBA" w:rsidRPr="00771C6C" w:rsidRDefault="00773CBA" w:rsidP="00263767">
      <w:pPr>
        <w:jc w:val="both"/>
        <w:rPr>
          <w:rFonts w:ascii="Verdana" w:hAnsi="Verdana" w:cs="Times New Roman"/>
          <w:b/>
          <w:i/>
          <w:u w:val="single"/>
        </w:rPr>
      </w:pPr>
      <w:bookmarkStart w:id="28" w:name="LOCAL_QUASI_APPLICABILITY"/>
      <w:r w:rsidRPr="00771C6C">
        <w:rPr>
          <w:rFonts w:ascii="Verdana" w:hAnsi="Verdana" w:cs="Times New Roman"/>
          <w:b/>
          <w:i/>
          <w:u w:val="single"/>
        </w:rPr>
        <w:t>Applicability of AUPs</w:t>
      </w:r>
      <w:r w:rsidR="00C73A1A" w:rsidRPr="00771C6C">
        <w:rPr>
          <w:rFonts w:ascii="Verdana" w:hAnsi="Verdana" w:cs="Times New Roman"/>
          <w:b/>
          <w:i/>
          <w:u w:val="single"/>
        </w:rPr>
        <w:t xml:space="preserve"> – </w:t>
      </w:r>
      <w:r w:rsidR="00535F4E" w:rsidRPr="00771C6C">
        <w:rPr>
          <w:rFonts w:ascii="Verdana" w:hAnsi="Verdana" w:cs="Times New Roman"/>
          <w:b/>
          <w:i/>
          <w:u w:val="single"/>
        </w:rPr>
        <w:t xml:space="preserve">Local </w:t>
      </w:r>
      <w:r w:rsidR="00C73A1A" w:rsidRPr="00771C6C">
        <w:rPr>
          <w:rFonts w:ascii="Verdana" w:hAnsi="Verdana" w:cs="Times New Roman"/>
          <w:b/>
          <w:i/>
          <w:u w:val="single"/>
        </w:rPr>
        <w:t>Government</w:t>
      </w:r>
      <w:r w:rsidR="00AE2882" w:rsidRPr="00771C6C">
        <w:rPr>
          <w:rFonts w:ascii="Verdana" w:hAnsi="Verdana" w:cs="Times New Roman"/>
          <w:b/>
          <w:i/>
          <w:u w:val="single"/>
        </w:rPr>
        <w:t>s</w:t>
      </w:r>
      <w:r w:rsidR="00C73A1A" w:rsidRPr="00771C6C">
        <w:rPr>
          <w:rFonts w:ascii="Verdana" w:hAnsi="Verdana" w:cs="Times New Roman"/>
          <w:b/>
          <w:i/>
          <w:u w:val="single"/>
        </w:rPr>
        <w:t xml:space="preserve"> </w:t>
      </w:r>
      <w:bookmarkEnd w:id="28"/>
      <w:r w:rsidR="00841FBC" w:rsidRPr="00771C6C">
        <w:rPr>
          <w:rFonts w:ascii="Verdana" w:hAnsi="Verdana" w:cs="Times New Roman"/>
          <w:b/>
          <w:i/>
          <w:u w:val="single"/>
        </w:rPr>
        <w:t xml:space="preserve">and Quasi-Public </w:t>
      </w:r>
      <w:r w:rsidR="00C73A1A" w:rsidRPr="00771C6C">
        <w:rPr>
          <w:rFonts w:ascii="Verdana" w:hAnsi="Verdana" w:cs="Times New Roman"/>
          <w:b/>
          <w:i/>
          <w:u w:val="single"/>
        </w:rPr>
        <w:t>Entities</w:t>
      </w:r>
    </w:p>
    <w:p w14:paraId="5EF09588" w14:textId="76FDDB85" w:rsidR="00C73A1A" w:rsidRPr="00771C6C" w:rsidRDefault="00841FBC" w:rsidP="00C73A1A">
      <w:pPr>
        <w:jc w:val="both"/>
        <w:rPr>
          <w:rFonts w:ascii="Verdana" w:hAnsi="Verdana" w:cs="Times New Roman"/>
        </w:rPr>
      </w:pPr>
      <w:r w:rsidRPr="00771C6C">
        <w:rPr>
          <w:rFonts w:ascii="Verdana" w:hAnsi="Verdana" w:cs="Times New Roman"/>
        </w:rPr>
        <w:t>These</w:t>
      </w:r>
      <w:r w:rsidR="007A224F" w:rsidRPr="00771C6C">
        <w:rPr>
          <w:rFonts w:ascii="Verdana" w:hAnsi="Verdana" w:cs="Times New Roman"/>
        </w:rPr>
        <w:t xml:space="preserve"> statewide</w:t>
      </w:r>
      <w:r w:rsidRPr="00771C6C">
        <w:rPr>
          <w:rFonts w:ascii="Verdana" w:hAnsi="Verdana" w:cs="Times New Roman"/>
        </w:rPr>
        <w:t xml:space="preserve"> AUPs are applicable to all l</w:t>
      </w:r>
      <w:r w:rsidR="00C73A1A" w:rsidRPr="00771C6C">
        <w:rPr>
          <w:rFonts w:ascii="Verdana" w:hAnsi="Verdana" w:cs="Times New Roman"/>
        </w:rPr>
        <w:t xml:space="preserve">ocal governments </w:t>
      </w:r>
      <w:r w:rsidRPr="00771C6C">
        <w:rPr>
          <w:rFonts w:ascii="Verdana" w:hAnsi="Verdana" w:cs="Times New Roman"/>
        </w:rPr>
        <w:t>and quasi-public entities defined in R.S. 24:513(A)(1)(b) paragraphs i through iii and v as follows:</w:t>
      </w:r>
    </w:p>
    <w:p w14:paraId="068DE4BC" w14:textId="23DAF8C8" w:rsidR="00841FBC" w:rsidRPr="00771C6C" w:rsidRDefault="00AE2882" w:rsidP="00254A13">
      <w:pPr>
        <w:pStyle w:val="ListParagraph"/>
        <w:numPr>
          <w:ilvl w:val="0"/>
          <w:numId w:val="72"/>
        </w:numPr>
        <w:spacing w:after="220"/>
        <w:contextualSpacing w:val="0"/>
        <w:jc w:val="both"/>
        <w:rPr>
          <w:rFonts w:ascii="Verdana" w:hAnsi="Verdana"/>
          <w:i/>
          <w:sz w:val="22"/>
          <w:szCs w:val="22"/>
        </w:rPr>
      </w:pPr>
      <w:r w:rsidRPr="00771C6C">
        <w:rPr>
          <w:rFonts w:ascii="Verdana" w:hAnsi="Verdana"/>
          <w:i/>
          <w:sz w:val="22"/>
          <w:szCs w:val="22"/>
        </w:rPr>
        <w:t>An organization, either not-for-profit or for-profit, created by the state of Louisiana or any political subdivision or agency thereof, any special district or authority, or unit of local government to perform a public purpose.</w:t>
      </w:r>
    </w:p>
    <w:p w14:paraId="2286E8B3" w14:textId="21AC2DAF" w:rsidR="00AE2882" w:rsidRPr="00771C6C" w:rsidRDefault="00AE2882" w:rsidP="00254A13">
      <w:pPr>
        <w:pStyle w:val="ListParagraph"/>
        <w:numPr>
          <w:ilvl w:val="0"/>
          <w:numId w:val="72"/>
        </w:numPr>
        <w:spacing w:after="220"/>
        <w:contextualSpacing w:val="0"/>
        <w:jc w:val="both"/>
        <w:rPr>
          <w:rFonts w:ascii="Verdana" w:hAnsi="Verdana"/>
          <w:i/>
          <w:sz w:val="22"/>
          <w:szCs w:val="22"/>
        </w:rPr>
      </w:pPr>
      <w:r w:rsidRPr="00771C6C">
        <w:rPr>
          <w:rFonts w:ascii="Verdana" w:hAnsi="Verdana"/>
          <w:i/>
          <w:sz w:val="22"/>
          <w:szCs w:val="22"/>
        </w:rPr>
        <w:t>An organization, either not-for-profit or for-profit, that is a component unit of a governmental reporting entity, as defined under generally accepted accounting principles.</w:t>
      </w:r>
    </w:p>
    <w:p w14:paraId="65615555" w14:textId="52EE686D" w:rsidR="00AE2882" w:rsidRPr="00771C6C" w:rsidRDefault="00AE2882" w:rsidP="00254A13">
      <w:pPr>
        <w:pStyle w:val="ListParagraph"/>
        <w:numPr>
          <w:ilvl w:val="0"/>
          <w:numId w:val="72"/>
        </w:numPr>
        <w:spacing w:after="220"/>
        <w:contextualSpacing w:val="0"/>
        <w:jc w:val="both"/>
        <w:rPr>
          <w:rFonts w:ascii="Verdana" w:hAnsi="Verdana"/>
          <w:i/>
          <w:sz w:val="22"/>
          <w:szCs w:val="22"/>
        </w:rPr>
      </w:pPr>
      <w:r w:rsidRPr="00771C6C">
        <w:rPr>
          <w:rFonts w:ascii="Verdana" w:hAnsi="Verdana"/>
          <w:i/>
          <w:sz w:val="22"/>
          <w:szCs w:val="22"/>
        </w:rPr>
        <w:t>An organization, either not-for-profit or for-profit, created to perform a public purpose and having one or more of the following characteristics:</w:t>
      </w:r>
    </w:p>
    <w:p w14:paraId="1F28FEDB" w14:textId="23599CBD"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governing body is elected by the general public.</w:t>
      </w:r>
    </w:p>
    <w:p w14:paraId="3FDECE9C" w14:textId="70388E3A"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 xml:space="preserve">A majority of the governing body is appointed by or authorized to be appointed </w:t>
      </w:r>
      <w:r w:rsidR="006C5EE8" w:rsidRPr="00771C6C">
        <w:rPr>
          <w:rFonts w:ascii="Verdana" w:hAnsi="Verdana"/>
          <w:i/>
          <w:sz w:val="22"/>
          <w:szCs w:val="22"/>
        </w:rPr>
        <w:t xml:space="preserve">by </w:t>
      </w:r>
      <w:r w:rsidRPr="00771C6C">
        <w:rPr>
          <w:rFonts w:ascii="Verdana" w:hAnsi="Verdana"/>
          <w:i/>
          <w:sz w:val="22"/>
          <w:szCs w:val="22"/>
        </w:rPr>
        <w:t>a governmental entity or individual government official as a part of his official duties.</w:t>
      </w:r>
    </w:p>
    <w:p w14:paraId="401A7FB9" w14:textId="46821F55"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entity is the recipient of the proceeds of an ad valorem tax or general sales tax levied specifically for its operations.</w:t>
      </w:r>
    </w:p>
    <w:p w14:paraId="08F8D633" w14:textId="637F0233"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entity is able to directly issue debt, the interest on which is exempt from federal taxation.</w:t>
      </w:r>
    </w:p>
    <w:p w14:paraId="1A843AB1" w14:textId="1276804F" w:rsidR="00AE2882" w:rsidRPr="00771C6C"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771C6C">
        <w:rPr>
          <w:rFonts w:ascii="Verdana" w:hAnsi="Verdana"/>
          <w:i/>
          <w:sz w:val="22"/>
          <w:szCs w:val="22"/>
        </w:rPr>
        <w:t>The entity can be dissolved unilaterally by a governmental entity and its net assets assumed without compensation by that governmental entity.</w:t>
      </w:r>
    </w:p>
    <w:p w14:paraId="67250F7E" w14:textId="0A8BAA92" w:rsidR="00AE2882" w:rsidRDefault="00AE2882" w:rsidP="00254A13">
      <w:pPr>
        <w:pStyle w:val="ListParagraph"/>
        <w:numPr>
          <w:ilvl w:val="0"/>
          <w:numId w:val="73"/>
        </w:numPr>
        <w:spacing w:after="220"/>
        <w:contextualSpacing w:val="0"/>
        <w:jc w:val="both"/>
        <w:rPr>
          <w:rFonts w:ascii="Verdana" w:hAnsi="Verdana"/>
          <w:i/>
          <w:sz w:val="22"/>
          <w:szCs w:val="22"/>
        </w:rPr>
      </w:pPr>
      <w:r w:rsidRPr="00771C6C">
        <w:rPr>
          <w:rFonts w:ascii="Verdana" w:hAnsi="Verdana"/>
          <w:i/>
          <w:sz w:val="22"/>
          <w:szCs w:val="22"/>
        </w:rPr>
        <w:t>Any organization, either not-for-profit or for-profit, which is subject to the open meetings law and derives a portion of its income from payments received from any public agency or body.</w:t>
      </w:r>
    </w:p>
    <w:p w14:paraId="191A2EAF" w14:textId="3A34B8B6" w:rsidR="00C73A1A" w:rsidRPr="00771C6C" w:rsidRDefault="005807DC" w:rsidP="00C73A1A">
      <w:pPr>
        <w:jc w:val="both"/>
        <w:rPr>
          <w:rFonts w:ascii="Verdana" w:hAnsi="Verdana" w:cs="Times New Roman"/>
          <w:b/>
          <w:i/>
          <w:u w:val="single"/>
        </w:rPr>
      </w:pPr>
      <w:bookmarkStart w:id="29" w:name="APPLICABILITY_NOT_FOR_PROFIT"/>
      <w:bookmarkStart w:id="30" w:name="_GoBack"/>
      <w:bookmarkEnd w:id="30"/>
      <w:r w:rsidRPr="00771C6C">
        <w:rPr>
          <w:rFonts w:ascii="Verdana" w:hAnsi="Verdana" w:cs="Times New Roman"/>
          <w:b/>
          <w:i/>
          <w:u w:val="single"/>
        </w:rPr>
        <w:t>A</w:t>
      </w:r>
      <w:r w:rsidR="00C73A1A" w:rsidRPr="00771C6C">
        <w:rPr>
          <w:rFonts w:ascii="Verdana" w:hAnsi="Verdana" w:cs="Times New Roman"/>
          <w:b/>
          <w:i/>
          <w:u w:val="single"/>
        </w:rPr>
        <w:t>pplicability of AUPs –No</w:t>
      </w:r>
      <w:r w:rsidR="00841FBC" w:rsidRPr="00771C6C">
        <w:rPr>
          <w:rFonts w:ascii="Verdana" w:hAnsi="Verdana" w:cs="Times New Roman"/>
          <w:b/>
          <w:i/>
          <w:u w:val="single"/>
        </w:rPr>
        <w:t>t-for</w:t>
      </w:r>
      <w:r w:rsidR="00C73A1A" w:rsidRPr="00771C6C">
        <w:rPr>
          <w:rFonts w:ascii="Verdana" w:hAnsi="Verdana" w:cs="Times New Roman"/>
          <w:b/>
          <w:i/>
          <w:u w:val="single"/>
        </w:rPr>
        <w:t>-Profit</w:t>
      </w:r>
      <w:r w:rsidR="004C5CA2" w:rsidRPr="00771C6C">
        <w:rPr>
          <w:rFonts w:ascii="Verdana" w:hAnsi="Verdana" w:cs="Times New Roman"/>
          <w:b/>
          <w:i/>
          <w:u w:val="single"/>
        </w:rPr>
        <w:t xml:space="preserve"> Entities</w:t>
      </w:r>
    </w:p>
    <w:bookmarkEnd w:id="29"/>
    <w:p w14:paraId="186EA70B" w14:textId="395750A6" w:rsidR="005807DC" w:rsidRPr="00771C6C" w:rsidRDefault="00037856" w:rsidP="00C73A1A">
      <w:pPr>
        <w:jc w:val="both"/>
        <w:rPr>
          <w:rFonts w:ascii="Verdana" w:hAnsi="Verdana" w:cs="Times New Roman"/>
        </w:rPr>
      </w:pPr>
      <w:r w:rsidRPr="00771C6C">
        <w:rPr>
          <w:rFonts w:ascii="Verdana" w:hAnsi="Verdana" w:cs="Times New Roman"/>
        </w:rPr>
        <w:t xml:space="preserve">These AUPs are applicable </w:t>
      </w:r>
      <w:r w:rsidRPr="00771C6C">
        <w:rPr>
          <w:rFonts w:ascii="Verdana" w:hAnsi="Verdana" w:cs="Times New Roman"/>
          <w:b/>
        </w:rPr>
        <w:t>to only the public funds</w:t>
      </w:r>
      <w:r w:rsidRPr="00771C6C">
        <w:rPr>
          <w:rFonts w:ascii="Verdana" w:hAnsi="Verdana" w:cs="Times New Roman"/>
        </w:rPr>
        <w:t xml:space="preserve"> of not-for-profit entities defined in R.S. 24:513(B)(1)(b)(iv) as follows:</w:t>
      </w:r>
    </w:p>
    <w:p w14:paraId="2AEDED34" w14:textId="5A611356" w:rsidR="00037856" w:rsidRPr="00771C6C" w:rsidRDefault="00037856" w:rsidP="006A3E9C">
      <w:pPr>
        <w:pStyle w:val="ListParagraph"/>
        <w:numPr>
          <w:ilvl w:val="0"/>
          <w:numId w:val="74"/>
        </w:numPr>
        <w:ind w:hanging="725"/>
        <w:jc w:val="both"/>
        <w:rPr>
          <w:rFonts w:ascii="Verdana" w:hAnsi="Verdana"/>
          <w:i/>
          <w:sz w:val="22"/>
          <w:szCs w:val="22"/>
        </w:rPr>
      </w:pPr>
      <w:r w:rsidRPr="00771C6C">
        <w:rPr>
          <w:rFonts w:ascii="Verdana" w:hAnsi="Verdana"/>
          <w:i/>
          <w:sz w:val="22"/>
          <w:szCs w:val="22"/>
        </w:rPr>
        <w:lastRenderedPageBreak/>
        <w:t>Any not-for-profit organization that receives or expends any local or state assistance in any fiscal year. Assistance shall include grants, loans, transfers of property, awards, and direct appropriations of state or local public funds. Assistance shall not include guarantees, membership dues, vendor contracts for goods and services related to administrative support for a local or state assistance program, assistance to private or parochial schools except as provided in R.S. 17:4022, assistance to private colleges and universities, or benefits to individuals.</w:t>
      </w:r>
    </w:p>
    <w:p w14:paraId="592FBB15" w14:textId="77777777" w:rsidR="00254A13" w:rsidRPr="00771C6C" w:rsidRDefault="00254A13" w:rsidP="00254A13">
      <w:pPr>
        <w:pStyle w:val="ListParagraph"/>
        <w:ind w:left="1445"/>
        <w:jc w:val="both"/>
        <w:rPr>
          <w:rFonts w:ascii="Verdana" w:hAnsi="Verdana"/>
          <w:i/>
          <w:sz w:val="22"/>
          <w:szCs w:val="22"/>
        </w:rPr>
      </w:pPr>
    </w:p>
    <w:p w14:paraId="68953153" w14:textId="20191B74" w:rsidR="00037856" w:rsidRPr="00771C6C" w:rsidRDefault="00037856" w:rsidP="00C73A1A">
      <w:pPr>
        <w:jc w:val="both"/>
        <w:rPr>
          <w:rFonts w:ascii="Verdana" w:hAnsi="Verdana" w:cs="Times New Roman"/>
        </w:rPr>
      </w:pPr>
      <w:r w:rsidRPr="00771C6C">
        <w:rPr>
          <w:rFonts w:ascii="Verdana" w:hAnsi="Verdana" w:cs="Times New Roman"/>
        </w:rPr>
        <w:t>In addition, these AUPs are applicable to the not-for-profit</w:t>
      </w:r>
      <w:r w:rsidR="00A43DB3" w:rsidRPr="00771C6C">
        <w:rPr>
          <w:rFonts w:ascii="Verdana" w:hAnsi="Verdana" w:cs="Times New Roman"/>
        </w:rPr>
        <w:t xml:space="preserve"> entities </w:t>
      </w:r>
      <w:r w:rsidR="00E22D3C" w:rsidRPr="00771C6C">
        <w:rPr>
          <w:rFonts w:ascii="Verdana" w:hAnsi="Verdana" w:cs="Times New Roman"/>
        </w:rPr>
        <w:t xml:space="preserve">defined in paragraph iv above </w:t>
      </w:r>
      <w:r w:rsidR="00A43DB3" w:rsidRPr="00771C6C">
        <w:rPr>
          <w:rFonts w:ascii="Verdana" w:hAnsi="Verdana" w:cs="Times New Roman"/>
        </w:rPr>
        <w:t xml:space="preserve">only if their revenues and other sources of </w:t>
      </w:r>
      <w:r w:rsidR="00A43DB3" w:rsidRPr="00771C6C">
        <w:rPr>
          <w:rFonts w:ascii="Verdana" w:hAnsi="Verdana" w:cs="Times New Roman"/>
          <w:b/>
        </w:rPr>
        <w:t>public funds</w:t>
      </w:r>
      <w:r w:rsidR="00A43DB3" w:rsidRPr="00771C6C">
        <w:rPr>
          <w:rFonts w:ascii="Verdana" w:hAnsi="Verdana" w:cs="Times New Roman"/>
        </w:rPr>
        <w:t xml:space="preserve"> total at least $500,000. Only those AUP areas applicable to </w:t>
      </w:r>
      <w:r w:rsidR="00A43DB3" w:rsidRPr="00771C6C">
        <w:rPr>
          <w:rFonts w:ascii="Verdana" w:hAnsi="Verdana" w:cs="Times New Roman"/>
          <w:b/>
        </w:rPr>
        <w:t>public funds</w:t>
      </w:r>
      <w:r w:rsidR="00A43DB3" w:rsidRPr="00771C6C">
        <w:rPr>
          <w:rFonts w:ascii="Verdana" w:hAnsi="Verdana" w:cs="Times New Roman"/>
        </w:rPr>
        <w:t xml:space="preserve"> administered by the not-for-profit entity are required to be included in the scope of the AUP engagement. The </w:t>
      </w:r>
      <w:hyperlink r:id="rId16" w:history="1">
        <w:r w:rsidR="00A43DB3" w:rsidRPr="00771C6C">
          <w:rPr>
            <w:rStyle w:val="Hyperlink"/>
            <w:rFonts w:ascii="Verdana" w:hAnsi="Verdana" w:cs="Times New Roman"/>
          </w:rPr>
          <w:t>Reporting Requirements for Not-for-Profit Organizations</w:t>
        </w:r>
      </w:hyperlink>
      <w:r w:rsidR="00A43DB3" w:rsidRPr="00771C6C">
        <w:rPr>
          <w:rFonts w:ascii="Verdana" w:hAnsi="Verdana" w:cs="Times New Roman"/>
        </w:rPr>
        <w:t xml:space="preserve"> document may be useful in identifying public assistance, calculating revenues and other sources of funds, and determining which type of report not-for-profit entities are required to submit to the LLA.</w:t>
      </w:r>
    </w:p>
    <w:p w14:paraId="3F576229" w14:textId="46CDF6EE" w:rsidR="007A224F" w:rsidRPr="00771C6C" w:rsidRDefault="007A224F" w:rsidP="007A224F">
      <w:pPr>
        <w:jc w:val="both"/>
        <w:rPr>
          <w:rFonts w:ascii="Verdana" w:hAnsi="Verdana" w:cs="Times New Roman"/>
          <w:b/>
          <w:i/>
          <w:u w:val="single"/>
        </w:rPr>
      </w:pPr>
      <w:bookmarkStart w:id="31" w:name="APPLICABILITY_MULTI_STATE"/>
      <w:r w:rsidRPr="00771C6C">
        <w:rPr>
          <w:rFonts w:ascii="Verdana" w:hAnsi="Verdana" w:cs="Times New Roman"/>
          <w:b/>
          <w:i/>
          <w:u w:val="single"/>
        </w:rPr>
        <w:t>Applicability of AUPs –Multi-State Entities</w:t>
      </w:r>
    </w:p>
    <w:bookmarkEnd w:id="31"/>
    <w:p w14:paraId="5724EC9C" w14:textId="008058F1" w:rsidR="007A224F" w:rsidRPr="00771C6C" w:rsidRDefault="007A224F" w:rsidP="007A224F">
      <w:pPr>
        <w:jc w:val="both"/>
        <w:rPr>
          <w:rFonts w:ascii="Verdana" w:hAnsi="Verdana" w:cs="Times New Roman"/>
        </w:rPr>
      </w:pPr>
      <w:r w:rsidRPr="00771C6C">
        <w:rPr>
          <w:rFonts w:ascii="Verdana" w:hAnsi="Verdana" w:cs="Times New Roman"/>
        </w:rPr>
        <w:t xml:space="preserve">For </w:t>
      </w:r>
      <w:r w:rsidRPr="00771C6C">
        <w:rPr>
          <w:rFonts w:ascii="Verdana" w:hAnsi="Verdana" w:cs="Times New Roman"/>
          <w:b/>
        </w:rPr>
        <w:t>multi-state quasi-public and not-for-profit entities</w:t>
      </w:r>
      <w:r w:rsidRPr="00771C6C">
        <w:rPr>
          <w:rFonts w:ascii="Verdana" w:hAnsi="Verdana" w:cs="Times New Roman"/>
        </w:rPr>
        <w:t xml:space="preserve">, the AUPs are applicable for only Louisiana funds.  For example, if a multi-state </w:t>
      </w:r>
      <w:r w:rsidR="00435989" w:rsidRPr="00771C6C">
        <w:rPr>
          <w:rFonts w:ascii="Verdana" w:hAnsi="Verdana" w:cs="Times New Roman"/>
        </w:rPr>
        <w:t>quasi-public entity</w:t>
      </w:r>
      <w:r w:rsidRPr="00771C6C">
        <w:rPr>
          <w:rFonts w:ascii="Verdana" w:hAnsi="Verdana" w:cs="Times New Roman"/>
        </w:rPr>
        <w:t xml:space="preserve"> with Louisiana offices has a payroll function that is not funded with Louisiana funds, then the payroll AUP section would not be applicable.</w:t>
      </w:r>
      <w:r w:rsidR="00435989" w:rsidRPr="00771C6C">
        <w:rPr>
          <w:rFonts w:ascii="Verdana" w:hAnsi="Verdana" w:cs="Times New Roman"/>
        </w:rPr>
        <w:t xml:space="preserve"> </w:t>
      </w:r>
      <w:r w:rsidR="004E49A7" w:rsidRPr="00771C6C">
        <w:rPr>
          <w:rFonts w:ascii="Verdana" w:hAnsi="Verdana" w:cs="Times New Roman"/>
        </w:rPr>
        <w:t>However</w:t>
      </w:r>
      <w:r w:rsidRPr="00771C6C">
        <w:rPr>
          <w:rFonts w:ascii="Verdana" w:hAnsi="Verdana" w:cs="Times New Roman"/>
        </w:rPr>
        <w:t xml:space="preserve">, if </w:t>
      </w:r>
      <w:r w:rsidR="00435989" w:rsidRPr="00771C6C">
        <w:rPr>
          <w:rFonts w:ascii="Verdana" w:hAnsi="Verdana" w:cs="Times New Roman"/>
        </w:rPr>
        <w:t xml:space="preserve">the New York office of </w:t>
      </w:r>
      <w:r w:rsidRPr="00771C6C">
        <w:rPr>
          <w:rFonts w:ascii="Verdana" w:hAnsi="Verdana" w:cs="Times New Roman"/>
        </w:rPr>
        <w:t xml:space="preserve">a multi-state </w:t>
      </w:r>
      <w:r w:rsidR="00435989" w:rsidRPr="00771C6C">
        <w:rPr>
          <w:rFonts w:ascii="Verdana" w:hAnsi="Verdana" w:cs="Times New Roman"/>
        </w:rPr>
        <w:t>not-for-profit entity</w:t>
      </w:r>
      <w:r w:rsidRPr="00771C6C">
        <w:rPr>
          <w:rFonts w:ascii="Verdana" w:hAnsi="Verdana" w:cs="Times New Roman"/>
        </w:rPr>
        <w:t xml:space="preserve"> </w:t>
      </w:r>
      <w:r w:rsidR="00435989" w:rsidRPr="00771C6C">
        <w:rPr>
          <w:rFonts w:ascii="Verdana" w:hAnsi="Verdana" w:cs="Times New Roman"/>
        </w:rPr>
        <w:t>disburses</w:t>
      </w:r>
      <w:r w:rsidRPr="00771C6C">
        <w:rPr>
          <w:rFonts w:ascii="Verdana" w:hAnsi="Verdana" w:cs="Times New Roman"/>
        </w:rPr>
        <w:t xml:space="preserve"> Louisiana funds,</w:t>
      </w:r>
      <w:r w:rsidR="00435989" w:rsidRPr="00771C6C">
        <w:rPr>
          <w:rFonts w:ascii="Verdana" w:hAnsi="Verdana" w:cs="Times New Roman"/>
        </w:rPr>
        <w:t xml:space="preserve"> </w:t>
      </w:r>
      <w:r w:rsidRPr="00771C6C">
        <w:rPr>
          <w:rFonts w:ascii="Verdana" w:hAnsi="Verdana" w:cs="Times New Roman"/>
        </w:rPr>
        <w:t>then the</w:t>
      </w:r>
      <w:r w:rsidR="00435989" w:rsidRPr="00771C6C">
        <w:rPr>
          <w:rFonts w:ascii="Verdana" w:hAnsi="Verdana" w:cs="Times New Roman"/>
        </w:rPr>
        <w:t xml:space="preserve"> non-payroll disbursements</w:t>
      </w:r>
      <w:r w:rsidRPr="00771C6C">
        <w:rPr>
          <w:rFonts w:ascii="Verdana" w:hAnsi="Verdana" w:cs="Times New Roman"/>
        </w:rPr>
        <w:t xml:space="preserve"> </w:t>
      </w:r>
      <w:r w:rsidR="00435989" w:rsidRPr="00771C6C">
        <w:rPr>
          <w:rFonts w:ascii="Verdana" w:hAnsi="Verdana" w:cs="Times New Roman"/>
        </w:rPr>
        <w:t>AUP section would be applicable</w:t>
      </w:r>
      <w:r w:rsidRPr="00771C6C">
        <w:rPr>
          <w:rFonts w:ascii="Verdana" w:hAnsi="Verdana" w:cs="Times New Roman"/>
        </w:rPr>
        <w:t xml:space="preserve">.  </w:t>
      </w:r>
    </w:p>
    <w:p w14:paraId="448FBDB3" w14:textId="77777777" w:rsidR="00C7376C" w:rsidRPr="00771C6C" w:rsidRDefault="00C7376C" w:rsidP="00C7376C">
      <w:pPr>
        <w:jc w:val="both"/>
        <w:rPr>
          <w:rFonts w:ascii="Verdana" w:hAnsi="Verdana" w:cs="Times New Roman"/>
          <w:b/>
          <w:i/>
          <w:u w:val="single"/>
        </w:rPr>
      </w:pPr>
      <w:bookmarkStart w:id="32" w:name="APPLICABILITY_COMPONENT_UNITS"/>
      <w:r w:rsidRPr="00771C6C">
        <w:rPr>
          <w:rFonts w:ascii="Verdana" w:hAnsi="Verdana" w:cs="Times New Roman"/>
          <w:b/>
          <w:i/>
          <w:u w:val="single"/>
        </w:rPr>
        <w:t>Applicability of AUPs - Component Units</w:t>
      </w:r>
    </w:p>
    <w:bookmarkEnd w:id="32"/>
    <w:p w14:paraId="596D599D" w14:textId="37D0B653" w:rsidR="00C7376C" w:rsidRDefault="00C7376C" w:rsidP="00C7376C">
      <w:pPr>
        <w:jc w:val="both"/>
        <w:rPr>
          <w:rFonts w:ascii="Verdana" w:hAnsi="Verdana" w:cs="Times New Roman"/>
        </w:rPr>
      </w:pPr>
      <w:r w:rsidRPr="00771C6C">
        <w:rPr>
          <w:rFonts w:ascii="Verdana" w:hAnsi="Verdana" w:cs="Times New Roman"/>
        </w:rPr>
        <w:t xml:space="preserve">The scope of the AUPs applies to the primary reporting entity and is not required to be extended to discretely presented component units of the entity. However, entities that are discrete component units of a primary government </w:t>
      </w:r>
      <w:r w:rsidRPr="00771C6C">
        <w:rPr>
          <w:rFonts w:ascii="Verdana" w:hAnsi="Verdana" w:cs="Times New Roman"/>
          <w:u w:val="single"/>
        </w:rPr>
        <w:t>and</w:t>
      </w:r>
      <w:r w:rsidRPr="00771C6C">
        <w:rPr>
          <w:rFonts w:ascii="Verdana" w:hAnsi="Verdana" w:cs="Times New Roman"/>
        </w:rPr>
        <w:t xml:space="preserve"> separately report to the LLA are individually subject to the AUPs.  Discrete component units that separately report to the LLA but have portions of their operations performed by the primary government (payroll processing, for example) are exempt from those portions of the AUPs relating to the operations performed by the primary government: instead, AUPs performed at the primary government should address those areas. </w:t>
      </w:r>
    </w:p>
    <w:p w14:paraId="5CEF50D6" w14:textId="77777777" w:rsidR="005E4882" w:rsidRPr="00771C6C" w:rsidRDefault="005E4882" w:rsidP="00C7376C">
      <w:pPr>
        <w:jc w:val="both"/>
        <w:rPr>
          <w:rFonts w:ascii="Verdana" w:hAnsi="Verdana" w:cs="Times New Roman"/>
        </w:rPr>
      </w:pPr>
    </w:p>
    <w:p w14:paraId="6664F3C6" w14:textId="1729039A" w:rsidR="003F796C" w:rsidRPr="00771C6C" w:rsidRDefault="009B6143" w:rsidP="009B6143">
      <w:pPr>
        <w:jc w:val="both"/>
        <w:rPr>
          <w:rFonts w:ascii="Verdana" w:hAnsi="Verdana" w:cs="Times New Roman"/>
          <w:b/>
          <w:i/>
          <w:u w:val="single"/>
        </w:rPr>
      </w:pPr>
      <w:bookmarkStart w:id="33" w:name="EXEMPTION_SINGLE_AUDIT"/>
      <w:r w:rsidRPr="00771C6C">
        <w:rPr>
          <w:rFonts w:ascii="Verdana" w:hAnsi="Verdana" w:cs="Times New Roman"/>
          <w:b/>
          <w:i/>
          <w:u w:val="single"/>
        </w:rPr>
        <w:lastRenderedPageBreak/>
        <w:t>AUP Exemption – Single Audit</w:t>
      </w:r>
      <w:bookmarkEnd w:id="33"/>
      <w:r w:rsidRPr="00771C6C">
        <w:rPr>
          <w:rFonts w:ascii="Verdana" w:hAnsi="Verdana" w:cs="Times New Roman"/>
          <w:b/>
          <w:i/>
          <w:u w:val="single"/>
        </w:rPr>
        <w:t xml:space="preserve"> </w:t>
      </w:r>
    </w:p>
    <w:p w14:paraId="587EAF14" w14:textId="19751B3F" w:rsidR="007A360D" w:rsidRDefault="00CF1694" w:rsidP="00263767">
      <w:pPr>
        <w:jc w:val="both"/>
        <w:rPr>
          <w:rFonts w:ascii="Verdana" w:hAnsi="Verdana" w:cs="Times New Roman"/>
        </w:rPr>
      </w:pPr>
      <w:r w:rsidRPr="00771C6C">
        <w:rPr>
          <w:rFonts w:ascii="Verdana" w:hAnsi="Verdana" w:cs="Times New Roman"/>
        </w:rPr>
        <w:t>If either a government</w:t>
      </w:r>
      <w:r w:rsidR="00283A93" w:rsidRPr="00771C6C">
        <w:rPr>
          <w:rFonts w:ascii="Verdana" w:hAnsi="Verdana" w:cs="Times New Roman"/>
        </w:rPr>
        <w:t>al</w:t>
      </w:r>
      <w:r w:rsidR="00E22D3C" w:rsidRPr="00771C6C">
        <w:rPr>
          <w:rFonts w:ascii="Verdana" w:hAnsi="Verdana" w:cs="Times New Roman"/>
        </w:rPr>
        <w:t>, quasi-public entity</w:t>
      </w:r>
      <w:r w:rsidRPr="00771C6C">
        <w:rPr>
          <w:rFonts w:ascii="Verdana" w:hAnsi="Verdana" w:cs="Times New Roman"/>
        </w:rPr>
        <w:t xml:space="preserve"> or no</w:t>
      </w:r>
      <w:r w:rsidR="00776CEC" w:rsidRPr="00771C6C">
        <w:rPr>
          <w:rFonts w:ascii="Verdana" w:hAnsi="Verdana" w:cs="Times New Roman"/>
        </w:rPr>
        <w:t>t-for</w:t>
      </w:r>
      <w:r w:rsidRPr="00771C6C">
        <w:rPr>
          <w:rFonts w:ascii="Verdana" w:hAnsi="Verdana" w:cs="Times New Roman"/>
        </w:rPr>
        <w:t xml:space="preserve">-profit entity </w:t>
      </w:r>
      <w:r w:rsidR="00E22D3C" w:rsidRPr="00771C6C">
        <w:rPr>
          <w:rFonts w:ascii="Verdana" w:hAnsi="Verdana" w:cs="Times New Roman"/>
        </w:rPr>
        <w:t xml:space="preserve">(collectively known as “local auditee”) </w:t>
      </w:r>
      <w:r w:rsidRPr="00771C6C">
        <w:rPr>
          <w:rFonts w:ascii="Verdana" w:hAnsi="Verdana" w:cs="Times New Roman"/>
        </w:rPr>
        <w:t xml:space="preserve">has </w:t>
      </w:r>
      <w:r w:rsidR="00A346F0" w:rsidRPr="00771C6C">
        <w:rPr>
          <w:rFonts w:ascii="Verdana" w:hAnsi="Verdana" w:cs="Times New Roman"/>
        </w:rPr>
        <w:t xml:space="preserve">met the </w:t>
      </w:r>
      <w:r w:rsidR="00E22D3C" w:rsidRPr="00771C6C">
        <w:rPr>
          <w:rFonts w:ascii="Verdana" w:hAnsi="Verdana" w:cs="Times New Roman"/>
        </w:rPr>
        <w:t xml:space="preserve">$500,000 </w:t>
      </w:r>
      <w:r w:rsidR="00A346F0" w:rsidRPr="00771C6C">
        <w:rPr>
          <w:rFonts w:ascii="Verdana" w:hAnsi="Verdana" w:cs="Times New Roman"/>
        </w:rPr>
        <w:t>Audit Law threshold</w:t>
      </w:r>
      <w:r w:rsidR="00283A93" w:rsidRPr="00771C6C">
        <w:rPr>
          <w:rFonts w:ascii="Verdana" w:hAnsi="Verdana" w:cs="Times New Roman"/>
        </w:rPr>
        <w:t>, and all or part of the entity’s public funds are federal major program funds</w:t>
      </w:r>
      <w:r w:rsidR="00A346F0" w:rsidRPr="00771C6C">
        <w:rPr>
          <w:rFonts w:ascii="Verdana" w:hAnsi="Verdana" w:cs="Times New Roman"/>
        </w:rPr>
        <w:t xml:space="preserve"> (either direct or pass-through) </w:t>
      </w:r>
      <w:r w:rsidR="00283A93" w:rsidRPr="00771C6C">
        <w:rPr>
          <w:rFonts w:ascii="Verdana" w:hAnsi="Verdana" w:cs="Times New Roman"/>
        </w:rPr>
        <w:t>tested under the entity’s Single Audit during the fiscal period, the entity may exclude</w:t>
      </w:r>
      <w:r w:rsidR="00141FA6" w:rsidRPr="00771C6C">
        <w:rPr>
          <w:rFonts w:ascii="Verdana" w:hAnsi="Verdana" w:cs="Times New Roman"/>
        </w:rPr>
        <w:t xml:space="preserve"> those AUP categories that are covered under federal program testing, regardless of whether the federal program testing includes the same procedures or sample sizes</w:t>
      </w:r>
      <w:r w:rsidR="00283A93" w:rsidRPr="00771C6C">
        <w:rPr>
          <w:rFonts w:ascii="Verdana" w:hAnsi="Verdana" w:cs="Times New Roman"/>
        </w:rPr>
        <w:t xml:space="preserve">.  </w:t>
      </w:r>
      <w:r w:rsidR="00141FA6" w:rsidRPr="00771C6C">
        <w:rPr>
          <w:rFonts w:ascii="Verdana" w:hAnsi="Verdana" w:cs="Times New Roman"/>
        </w:rPr>
        <w:t>For example, a no</w:t>
      </w:r>
      <w:r w:rsidR="00E22D3C" w:rsidRPr="00771C6C">
        <w:rPr>
          <w:rFonts w:ascii="Verdana" w:hAnsi="Verdana" w:cs="Times New Roman"/>
        </w:rPr>
        <w:t>t-for</w:t>
      </w:r>
      <w:r w:rsidR="00141FA6" w:rsidRPr="00771C6C">
        <w:rPr>
          <w:rFonts w:ascii="Verdana" w:hAnsi="Verdana" w:cs="Times New Roman"/>
        </w:rPr>
        <w:t xml:space="preserve">-profit entity that has one federal program subject to Single Audit testing may exclude credit cards, travel expenditures, non-payroll disbursements, contracts, and payroll and personnel if these areas are subject to </w:t>
      </w:r>
      <w:r w:rsidR="008C34FB" w:rsidRPr="00771C6C">
        <w:rPr>
          <w:rFonts w:ascii="Verdana" w:hAnsi="Verdana" w:cs="Times New Roman"/>
        </w:rPr>
        <w:t xml:space="preserve">testing under Allowable Costs and Procurement </w:t>
      </w:r>
      <w:r w:rsidR="00CC004B" w:rsidRPr="00771C6C">
        <w:rPr>
          <w:rFonts w:ascii="Verdana" w:hAnsi="Verdana" w:cs="Times New Roman"/>
        </w:rPr>
        <w:t>in</w:t>
      </w:r>
      <w:r w:rsidR="008C34FB" w:rsidRPr="00771C6C">
        <w:rPr>
          <w:rFonts w:ascii="Verdana" w:hAnsi="Verdana" w:cs="Times New Roman"/>
        </w:rPr>
        <w:t xml:space="preserve"> the OMB Compliance Supplement; however, the entity would still be subject to other AUP areas that are not addressed in the OMB Compliance Supplement (e.g.</w:t>
      </w:r>
      <w:r w:rsidR="00BD0A4B" w:rsidRPr="00771C6C">
        <w:rPr>
          <w:rFonts w:ascii="Verdana" w:hAnsi="Verdana" w:cs="Times New Roman"/>
        </w:rPr>
        <w:t>,</w:t>
      </w:r>
      <w:r w:rsidR="008C34FB" w:rsidRPr="00771C6C">
        <w:rPr>
          <w:rFonts w:ascii="Verdana" w:hAnsi="Verdana" w:cs="Times New Roman"/>
        </w:rPr>
        <w:t xml:space="preserve"> </w:t>
      </w:r>
      <w:r w:rsidR="00E22D3C" w:rsidRPr="00771C6C">
        <w:rPr>
          <w:rFonts w:ascii="Verdana" w:hAnsi="Verdana" w:cs="Times New Roman"/>
        </w:rPr>
        <w:t>b</w:t>
      </w:r>
      <w:r w:rsidR="008C34FB" w:rsidRPr="00771C6C">
        <w:rPr>
          <w:rFonts w:ascii="Verdana" w:hAnsi="Verdana" w:cs="Times New Roman"/>
        </w:rPr>
        <w:t>oard or finance committee, bank reconciliations).</w:t>
      </w:r>
      <w:r w:rsidR="007869C4" w:rsidRPr="00771C6C">
        <w:rPr>
          <w:rFonts w:ascii="Verdana" w:hAnsi="Verdana" w:cs="Times New Roman"/>
        </w:rPr>
        <w:t xml:space="preserve">  However, an entity that has other public funds not subject to testing under the Single Audit must still test those funds under the AUPs.  In that situation, we recommend selecting sample sizes for the applicable AUP categories from the overall population of transactions and then removing those sample items that fall within Single Audit testing.  Alternatively, the practitioner could apply a pro-rata ratio to the AUP sample sizes to accomplish the same goal.</w:t>
      </w:r>
    </w:p>
    <w:p w14:paraId="78DC00F4" w14:textId="2B6C016D" w:rsidR="006E31FA" w:rsidRPr="00771C6C" w:rsidRDefault="006E31FA" w:rsidP="006E31FA">
      <w:pPr>
        <w:jc w:val="both"/>
        <w:rPr>
          <w:rFonts w:ascii="Verdana" w:hAnsi="Verdana" w:cs="Times New Roman"/>
          <w:b/>
          <w:i/>
          <w:u w:val="single"/>
        </w:rPr>
      </w:pPr>
      <w:bookmarkStart w:id="34" w:name="EXEMPTION_STUDENT_ACTIVITY_FUNDS"/>
      <w:r w:rsidRPr="00771C6C">
        <w:rPr>
          <w:rFonts w:ascii="Verdana" w:hAnsi="Verdana" w:cs="Times New Roman"/>
          <w:b/>
          <w:i/>
          <w:u w:val="single"/>
        </w:rPr>
        <w:t>AUP Exemption – S</w:t>
      </w:r>
      <w:r w:rsidR="009D778D" w:rsidRPr="00771C6C">
        <w:rPr>
          <w:rFonts w:ascii="Verdana" w:hAnsi="Verdana" w:cs="Times New Roman"/>
          <w:b/>
          <w:i/>
          <w:u w:val="single"/>
        </w:rPr>
        <w:t>chool or S</w:t>
      </w:r>
      <w:r w:rsidRPr="00771C6C">
        <w:rPr>
          <w:rFonts w:ascii="Verdana" w:hAnsi="Verdana" w:cs="Times New Roman"/>
          <w:b/>
          <w:i/>
          <w:u w:val="single"/>
        </w:rPr>
        <w:t>tudent Activity Funds</w:t>
      </w:r>
    </w:p>
    <w:bookmarkEnd w:id="34"/>
    <w:p w14:paraId="2B1D854E" w14:textId="2F74457E" w:rsidR="006E31FA" w:rsidRPr="00771C6C" w:rsidRDefault="006E31FA" w:rsidP="006E31FA">
      <w:pPr>
        <w:jc w:val="both"/>
        <w:rPr>
          <w:rFonts w:ascii="Verdana" w:hAnsi="Verdana" w:cs="Times New Roman"/>
        </w:rPr>
      </w:pPr>
      <w:r w:rsidRPr="00771C6C">
        <w:rPr>
          <w:rFonts w:ascii="Verdana" w:hAnsi="Verdana" w:cs="Times New Roman"/>
        </w:rPr>
        <w:t>School or student activity fund accounts may be excluded from testing under the AUPs if they are otherwise addressed in a separately contracted audit or agreed-upon procedures engagement (which does not have to include the same procedures as in the AUPs).  In this situation, the audit or agreed-upon procedures report is required to be submitted to the LLA as a separate engagement and is not required to be included in the pdf file with the practitioner’s audit/AUP report.</w:t>
      </w:r>
    </w:p>
    <w:p w14:paraId="4164CCE2" w14:textId="7A1AC54F" w:rsidR="00956F9C" w:rsidRPr="00771C6C" w:rsidRDefault="00956F9C" w:rsidP="006E31FA">
      <w:pPr>
        <w:jc w:val="both"/>
        <w:rPr>
          <w:rFonts w:ascii="Verdana" w:hAnsi="Verdana" w:cs="Times New Roman"/>
          <w:b/>
          <w:i/>
          <w:u w:val="single"/>
        </w:rPr>
      </w:pPr>
      <w:bookmarkStart w:id="35" w:name="EXEMPTION_CSLFR"/>
      <w:r w:rsidRPr="00771C6C">
        <w:rPr>
          <w:rFonts w:ascii="Verdana" w:hAnsi="Verdana" w:cs="Times New Roman"/>
          <w:b/>
          <w:i/>
          <w:u w:val="single"/>
        </w:rPr>
        <w:t xml:space="preserve">AUP Exemption </w:t>
      </w:r>
      <w:r w:rsidR="00C16E7B" w:rsidRPr="00771C6C">
        <w:rPr>
          <w:rFonts w:ascii="Verdana" w:hAnsi="Verdana" w:cs="Times New Roman"/>
          <w:b/>
          <w:i/>
          <w:u w:val="single"/>
        </w:rPr>
        <w:t>–</w:t>
      </w:r>
      <w:r w:rsidRPr="00771C6C">
        <w:rPr>
          <w:rFonts w:ascii="Verdana" w:hAnsi="Verdana" w:cs="Times New Roman"/>
          <w:b/>
          <w:i/>
          <w:u w:val="single"/>
        </w:rPr>
        <w:t xml:space="preserve"> Coronavirus State and Local Fiscal Recovery Funds Recipients (CSLFR)</w:t>
      </w:r>
    </w:p>
    <w:bookmarkEnd w:id="35"/>
    <w:p w14:paraId="3F59C812" w14:textId="63FD14E8" w:rsidR="00956F9C" w:rsidRDefault="00956F9C" w:rsidP="006E31FA">
      <w:pPr>
        <w:jc w:val="both"/>
      </w:pPr>
      <w:r w:rsidRPr="00771C6C">
        <w:rPr>
          <w:rFonts w:ascii="Verdana" w:hAnsi="Verdana" w:cs="Times New Roman"/>
        </w:rPr>
        <w:t xml:space="preserve">LLA </w:t>
      </w:r>
      <w:r w:rsidR="00FB6BF2" w:rsidRPr="00771C6C">
        <w:rPr>
          <w:rFonts w:ascii="Verdana" w:hAnsi="Verdana" w:cs="Times New Roman"/>
        </w:rPr>
        <w:t xml:space="preserve">does </w:t>
      </w:r>
      <w:r w:rsidRPr="00771C6C">
        <w:rPr>
          <w:rFonts w:ascii="Verdana" w:hAnsi="Verdana" w:cs="Times New Roman"/>
        </w:rPr>
        <w:t>not require a local auditee to provide for the statewide agreed-upon procedures report for fiscal years in which the local auditee would be required to provide for a review/attestation report, if not for the receipt of CSLFR funds</w:t>
      </w:r>
      <w:r w:rsidR="00FB6BF2" w:rsidRPr="00771C6C">
        <w:rPr>
          <w:rFonts w:ascii="Verdana" w:hAnsi="Verdana" w:cs="Times New Roman"/>
        </w:rPr>
        <w:t xml:space="preserve"> (Assistance Listing Number 21.027) as explained in</w:t>
      </w:r>
      <w:r w:rsidR="00813826" w:rsidRPr="00771C6C">
        <w:rPr>
          <w:rFonts w:ascii="Verdana" w:hAnsi="Verdana" w:cs="Times New Roman"/>
        </w:rPr>
        <w:t xml:space="preserve"> </w:t>
      </w:r>
      <w:r w:rsidR="00E75E48" w:rsidRPr="00771C6C">
        <w:rPr>
          <w:rFonts w:ascii="Verdana" w:hAnsi="Verdana" w:cs="Times New Roman"/>
        </w:rPr>
        <w:t xml:space="preserve"> </w:t>
      </w:r>
      <w:hyperlink r:id="rId17" w:history="1">
        <w:r w:rsidR="00E75E48" w:rsidRPr="00771C6C">
          <w:rPr>
            <w:rStyle w:val="Hyperlink"/>
            <w:rFonts w:ascii="Verdana" w:hAnsi="Verdana" w:cs="Times New Roman"/>
          </w:rPr>
          <w:t>Audit Risk Alert 46</w:t>
        </w:r>
      </w:hyperlink>
      <w:r w:rsidR="00F94089" w:rsidRPr="00771C6C">
        <w:rPr>
          <w:rFonts w:ascii="Verdana" w:hAnsi="Verdana" w:cs="Times New Roman"/>
        </w:rPr>
        <w:t>.</w:t>
      </w:r>
      <w:r w:rsidR="00E75E48" w:rsidRPr="00771C6C">
        <w:rPr>
          <w:rFonts w:ascii="Verdana" w:hAnsi="Verdana" w:cs="Times New Roman"/>
        </w:rPr>
        <w:t xml:space="preserve"> </w:t>
      </w:r>
      <w:r w:rsidR="00813826" w:rsidRPr="00771C6C">
        <w:t xml:space="preserve"> </w:t>
      </w:r>
    </w:p>
    <w:p w14:paraId="7F17E916" w14:textId="77777777" w:rsidR="005E4882" w:rsidRDefault="005E4882" w:rsidP="006E31FA">
      <w:pPr>
        <w:jc w:val="both"/>
      </w:pPr>
    </w:p>
    <w:p w14:paraId="31ACFEBE" w14:textId="0849AFD7" w:rsidR="009B6143" w:rsidRPr="00771C6C" w:rsidRDefault="006E31FA" w:rsidP="00263767">
      <w:pPr>
        <w:jc w:val="both"/>
        <w:rPr>
          <w:rFonts w:ascii="Verdana" w:hAnsi="Verdana" w:cs="Times New Roman"/>
          <w:b/>
          <w:i/>
          <w:u w:val="single"/>
        </w:rPr>
      </w:pPr>
      <w:bookmarkStart w:id="36" w:name="EXEMPTION_OTHER"/>
      <w:r w:rsidRPr="00771C6C">
        <w:rPr>
          <w:rFonts w:ascii="Verdana" w:hAnsi="Verdana" w:cs="Times New Roman"/>
          <w:b/>
          <w:i/>
          <w:u w:val="single"/>
        </w:rPr>
        <w:lastRenderedPageBreak/>
        <w:t xml:space="preserve">Other Entities Exempt from the </w:t>
      </w:r>
      <w:r w:rsidR="009B6143" w:rsidRPr="00771C6C">
        <w:rPr>
          <w:rFonts w:ascii="Verdana" w:hAnsi="Verdana" w:cs="Times New Roman"/>
          <w:b/>
          <w:i/>
          <w:u w:val="single"/>
        </w:rPr>
        <w:t>AUP</w:t>
      </w:r>
      <w:r w:rsidRPr="00771C6C">
        <w:rPr>
          <w:rFonts w:ascii="Verdana" w:hAnsi="Verdana" w:cs="Times New Roman"/>
          <w:b/>
          <w:i/>
          <w:u w:val="single"/>
        </w:rPr>
        <w:t xml:space="preserve">s </w:t>
      </w:r>
    </w:p>
    <w:bookmarkEnd w:id="36"/>
    <w:p w14:paraId="535DB992" w14:textId="0EFD52A2" w:rsidR="009B6143" w:rsidRPr="00771C6C" w:rsidRDefault="00773CBA" w:rsidP="00263767">
      <w:pPr>
        <w:jc w:val="both"/>
        <w:rPr>
          <w:rFonts w:ascii="Verdana" w:hAnsi="Verdana" w:cs="Times New Roman"/>
        </w:rPr>
      </w:pPr>
      <w:r w:rsidRPr="00771C6C">
        <w:rPr>
          <w:rFonts w:ascii="Verdana" w:hAnsi="Verdana" w:cs="Times New Roman"/>
        </w:rPr>
        <w:t>S</w:t>
      </w:r>
      <w:r w:rsidR="00417C40" w:rsidRPr="00771C6C">
        <w:rPr>
          <w:rFonts w:ascii="Verdana" w:hAnsi="Verdana" w:cs="Times New Roman"/>
        </w:rPr>
        <w:t>tate entities</w:t>
      </w:r>
      <w:r w:rsidR="00A5584A" w:rsidRPr="00771C6C">
        <w:rPr>
          <w:rFonts w:ascii="Verdana" w:hAnsi="Verdana" w:cs="Times New Roman"/>
        </w:rPr>
        <w:t xml:space="preserve"> whose financial information is</w:t>
      </w:r>
      <w:r w:rsidR="00417C40" w:rsidRPr="00771C6C">
        <w:rPr>
          <w:rFonts w:ascii="Verdana" w:hAnsi="Verdana" w:cs="Times New Roman"/>
        </w:rPr>
        <w:t xml:space="preserve"> included</w:t>
      </w:r>
      <w:r w:rsidR="00A5584A" w:rsidRPr="00771C6C">
        <w:rPr>
          <w:rFonts w:ascii="Verdana" w:hAnsi="Verdana" w:cs="Times New Roman"/>
        </w:rPr>
        <w:t xml:space="preserve"> </w:t>
      </w:r>
      <w:r w:rsidR="00417C40" w:rsidRPr="00771C6C">
        <w:rPr>
          <w:rFonts w:ascii="Verdana" w:hAnsi="Verdana" w:cs="Times New Roman"/>
        </w:rPr>
        <w:t xml:space="preserve">in the Annual </w:t>
      </w:r>
      <w:r w:rsidR="003B58F2" w:rsidRPr="00771C6C">
        <w:rPr>
          <w:rFonts w:ascii="Verdana" w:hAnsi="Verdana" w:cs="Times New Roman"/>
        </w:rPr>
        <w:t xml:space="preserve">Comprehensive </w:t>
      </w:r>
      <w:r w:rsidR="00417C40" w:rsidRPr="00771C6C">
        <w:rPr>
          <w:rFonts w:ascii="Verdana" w:hAnsi="Verdana" w:cs="Times New Roman"/>
        </w:rPr>
        <w:t>Financial Report of the State of Louisiana</w:t>
      </w:r>
      <w:r w:rsidR="005E35AD" w:rsidRPr="00771C6C">
        <w:rPr>
          <w:rFonts w:ascii="Verdana" w:hAnsi="Verdana" w:cs="Times New Roman"/>
        </w:rPr>
        <w:t xml:space="preserve"> </w:t>
      </w:r>
      <w:r w:rsidR="00417C40" w:rsidRPr="00771C6C">
        <w:rPr>
          <w:rFonts w:ascii="Verdana" w:hAnsi="Verdana" w:cs="Times New Roman"/>
        </w:rPr>
        <w:t xml:space="preserve">are exempt from the </w:t>
      </w:r>
      <w:r w:rsidR="00C16E7B" w:rsidRPr="00771C6C">
        <w:rPr>
          <w:rFonts w:ascii="Verdana" w:hAnsi="Verdana" w:cs="Times New Roman"/>
        </w:rPr>
        <w:t xml:space="preserve">statewide </w:t>
      </w:r>
      <w:r w:rsidR="00C77982" w:rsidRPr="00771C6C">
        <w:rPr>
          <w:rFonts w:ascii="Verdana" w:hAnsi="Verdana" w:cs="Times New Roman"/>
        </w:rPr>
        <w:t>AUPs</w:t>
      </w:r>
      <w:r w:rsidR="00C16E7B" w:rsidRPr="00771C6C">
        <w:rPr>
          <w:rFonts w:ascii="Verdana" w:hAnsi="Verdana" w:cs="Times New Roman"/>
        </w:rPr>
        <w:t xml:space="preserve"> in this document</w:t>
      </w:r>
      <w:r w:rsidR="00417C40" w:rsidRPr="00771C6C">
        <w:rPr>
          <w:rFonts w:ascii="Verdana" w:hAnsi="Verdana" w:cs="Times New Roman"/>
        </w:rPr>
        <w:t>.</w:t>
      </w:r>
      <w:r w:rsidR="00133A56" w:rsidRPr="00771C6C">
        <w:rPr>
          <w:rFonts w:ascii="Verdana" w:hAnsi="Verdana" w:cs="Times New Roman"/>
        </w:rPr>
        <w:t xml:space="preserve">  </w:t>
      </w:r>
    </w:p>
    <w:p w14:paraId="0F0F7300" w14:textId="5662C3B5" w:rsidR="00D262B8" w:rsidRDefault="00133A56" w:rsidP="00263767">
      <w:pPr>
        <w:jc w:val="both"/>
        <w:rPr>
          <w:rFonts w:ascii="Verdana" w:hAnsi="Verdana" w:cs="Times New Roman"/>
        </w:rPr>
      </w:pPr>
      <w:r w:rsidRPr="00771C6C">
        <w:rPr>
          <w:rFonts w:ascii="Verdana" w:hAnsi="Verdana" w:cs="Times New Roman"/>
        </w:rPr>
        <w:t>Private and</w:t>
      </w:r>
      <w:r w:rsidR="00773CBA" w:rsidRPr="00771C6C">
        <w:rPr>
          <w:rFonts w:ascii="Verdana" w:hAnsi="Verdana" w:cs="Times New Roman"/>
        </w:rPr>
        <w:t xml:space="preserve"> parochial schools</w:t>
      </w:r>
      <w:r w:rsidR="003848DC" w:rsidRPr="00771C6C">
        <w:rPr>
          <w:rFonts w:ascii="Verdana" w:hAnsi="Verdana" w:cs="Times New Roman"/>
        </w:rPr>
        <w:t xml:space="preserve">, as well </w:t>
      </w:r>
      <w:r w:rsidR="003B58F2" w:rsidRPr="00771C6C">
        <w:rPr>
          <w:rFonts w:ascii="Verdana" w:hAnsi="Verdana" w:cs="Times New Roman"/>
        </w:rPr>
        <w:t xml:space="preserve">as </w:t>
      </w:r>
      <w:r w:rsidR="003848DC" w:rsidRPr="00771C6C">
        <w:rPr>
          <w:rFonts w:ascii="Verdana" w:hAnsi="Verdana" w:cs="Times New Roman"/>
        </w:rPr>
        <w:t>university foundations, facility corporations, and booster associations,</w:t>
      </w:r>
      <w:r w:rsidR="00773CBA" w:rsidRPr="00771C6C">
        <w:rPr>
          <w:rFonts w:ascii="Verdana" w:hAnsi="Verdana" w:cs="Times New Roman"/>
        </w:rPr>
        <w:t xml:space="preserve"> are specifically excluded</w:t>
      </w:r>
      <w:r w:rsidR="003848DC" w:rsidRPr="00771C6C">
        <w:rPr>
          <w:rFonts w:ascii="Verdana" w:hAnsi="Verdana" w:cs="Times New Roman"/>
        </w:rPr>
        <w:t xml:space="preserve"> by law</w:t>
      </w:r>
      <w:r w:rsidR="00773CBA" w:rsidRPr="00771C6C">
        <w:rPr>
          <w:rFonts w:ascii="Verdana" w:hAnsi="Verdana" w:cs="Times New Roman"/>
        </w:rPr>
        <w:t xml:space="preserve"> from having to provide audit reports to the LLA and </w:t>
      </w:r>
      <w:r w:rsidR="00A5584A" w:rsidRPr="00771C6C">
        <w:rPr>
          <w:rFonts w:ascii="Verdana" w:hAnsi="Verdana" w:cs="Times New Roman"/>
        </w:rPr>
        <w:t>are</w:t>
      </w:r>
      <w:r w:rsidR="00773CBA" w:rsidRPr="00771C6C">
        <w:rPr>
          <w:rFonts w:ascii="Verdana" w:hAnsi="Verdana" w:cs="Times New Roman"/>
        </w:rPr>
        <w:t xml:space="preserve"> exempt from the AU</w:t>
      </w:r>
      <w:r w:rsidR="007D036F" w:rsidRPr="00771C6C">
        <w:rPr>
          <w:rFonts w:ascii="Verdana" w:hAnsi="Verdana" w:cs="Times New Roman"/>
        </w:rPr>
        <w:t>Ps.</w:t>
      </w:r>
      <w:r w:rsidR="002313E5" w:rsidRPr="00771C6C">
        <w:rPr>
          <w:rFonts w:ascii="Verdana" w:hAnsi="Verdana" w:cs="Times New Roman"/>
        </w:rPr>
        <w:t xml:space="preserve">  Real estate for-profit limited partnership entities </w:t>
      </w:r>
      <w:r w:rsidR="006E31FA" w:rsidRPr="00771C6C">
        <w:rPr>
          <w:rFonts w:ascii="Verdana" w:hAnsi="Verdana" w:cs="Times New Roman"/>
        </w:rPr>
        <w:t>are</w:t>
      </w:r>
      <w:r w:rsidR="002313E5" w:rsidRPr="00771C6C">
        <w:rPr>
          <w:rFonts w:ascii="Verdana" w:hAnsi="Verdana" w:cs="Times New Roman"/>
        </w:rPr>
        <w:t xml:space="preserve"> exempt from the AUPs based on the nature of their operations.</w:t>
      </w:r>
    </w:p>
    <w:p w14:paraId="67C8671C" w14:textId="74AC5109" w:rsidR="009B6143" w:rsidRPr="00771C6C" w:rsidRDefault="009B6143" w:rsidP="00263767">
      <w:pPr>
        <w:jc w:val="both"/>
        <w:rPr>
          <w:rFonts w:ascii="Verdana" w:hAnsi="Verdana" w:cs="Times New Roman"/>
          <w:b/>
          <w:i/>
          <w:u w:val="single"/>
        </w:rPr>
      </w:pPr>
      <w:bookmarkStart w:id="37" w:name="SAUP_VS_OTHER_AUP"/>
      <w:r w:rsidRPr="00771C6C">
        <w:rPr>
          <w:rFonts w:ascii="Verdana" w:hAnsi="Verdana" w:cs="Times New Roman"/>
          <w:b/>
          <w:i/>
          <w:u w:val="single"/>
        </w:rPr>
        <w:t xml:space="preserve">Statewide AUPs </w:t>
      </w:r>
      <w:r w:rsidR="006E31FA" w:rsidRPr="00771C6C">
        <w:rPr>
          <w:rFonts w:ascii="Verdana" w:hAnsi="Verdana" w:cs="Times New Roman"/>
          <w:b/>
          <w:i/>
          <w:u w:val="single"/>
        </w:rPr>
        <w:t xml:space="preserve">Compared </w:t>
      </w:r>
      <w:r w:rsidR="003B7CFE" w:rsidRPr="00771C6C">
        <w:rPr>
          <w:rFonts w:ascii="Verdana" w:hAnsi="Verdana" w:cs="Times New Roman"/>
          <w:b/>
          <w:i/>
          <w:u w:val="single"/>
        </w:rPr>
        <w:t>w</w:t>
      </w:r>
      <w:r w:rsidR="006E31FA" w:rsidRPr="00771C6C">
        <w:rPr>
          <w:rFonts w:ascii="Verdana" w:hAnsi="Verdana" w:cs="Times New Roman"/>
          <w:b/>
          <w:i/>
          <w:u w:val="single"/>
        </w:rPr>
        <w:t>ith</w:t>
      </w:r>
      <w:r w:rsidRPr="00771C6C">
        <w:rPr>
          <w:rFonts w:ascii="Verdana" w:hAnsi="Verdana" w:cs="Times New Roman"/>
          <w:b/>
          <w:i/>
          <w:u w:val="single"/>
        </w:rPr>
        <w:t xml:space="preserve"> Other Required AUP Types</w:t>
      </w:r>
    </w:p>
    <w:bookmarkEnd w:id="37"/>
    <w:p w14:paraId="7C20E964" w14:textId="1DC94C28" w:rsidR="00600AFA" w:rsidRPr="00771C6C" w:rsidRDefault="00600AFA" w:rsidP="00263767">
      <w:pPr>
        <w:jc w:val="both"/>
        <w:rPr>
          <w:rFonts w:ascii="Verdana" w:hAnsi="Verdana" w:cs="Times New Roman"/>
        </w:rPr>
      </w:pPr>
      <w:r w:rsidRPr="00771C6C">
        <w:rPr>
          <w:rFonts w:ascii="Verdana" w:hAnsi="Verdana" w:cs="Times New Roman"/>
        </w:rPr>
        <w:t xml:space="preserve">Please note that </w:t>
      </w:r>
      <w:r w:rsidR="0019247F" w:rsidRPr="00771C6C">
        <w:rPr>
          <w:rFonts w:ascii="Verdana" w:hAnsi="Verdana" w:cs="Times New Roman"/>
        </w:rPr>
        <w:t xml:space="preserve">the </w:t>
      </w:r>
      <w:r w:rsidRPr="00771C6C">
        <w:rPr>
          <w:rFonts w:ascii="Verdana" w:hAnsi="Verdana" w:cs="Times New Roman"/>
        </w:rPr>
        <w:t xml:space="preserve">statewide AUPs </w:t>
      </w:r>
      <w:r w:rsidR="0019247F" w:rsidRPr="00771C6C">
        <w:rPr>
          <w:rFonts w:ascii="Verdana" w:hAnsi="Verdana" w:cs="Times New Roman"/>
        </w:rPr>
        <w:t xml:space="preserve">included in this document </w:t>
      </w:r>
      <w:r w:rsidRPr="00771C6C">
        <w:rPr>
          <w:rFonts w:ascii="Verdana" w:hAnsi="Verdana" w:cs="Times New Roman"/>
        </w:rPr>
        <w:t xml:space="preserve">apply </w:t>
      </w:r>
      <w:r w:rsidR="00457DA8" w:rsidRPr="00771C6C">
        <w:rPr>
          <w:rFonts w:ascii="Verdana" w:hAnsi="Verdana" w:cs="Times New Roman"/>
        </w:rPr>
        <w:t xml:space="preserve">only </w:t>
      </w:r>
      <w:r w:rsidRPr="00771C6C">
        <w:rPr>
          <w:rFonts w:ascii="Verdana" w:hAnsi="Verdana" w:cs="Times New Roman"/>
        </w:rPr>
        <w:t>to local governments and quasi-pub</w:t>
      </w:r>
      <w:r w:rsidR="0019247F" w:rsidRPr="00771C6C">
        <w:rPr>
          <w:rFonts w:ascii="Verdana" w:hAnsi="Verdana" w:cs="Times New Roman"/>
        </w:rPr>
        <w:t>lic entities that meet the requirement to have an audit under the Audit Law.  The LLA also</w:t>
      </w:r>
      <w:r w:rsidRPr="00771C6C">
        <w:rPr>
          <w:rFonts w:ascii="Verdana" w:hAnsi="Verdana" w:cs="Times New Roman"/>
        </w:rPr>
        <w:t xml:space="preserve"> has </w:t>
      </w:r>
      <w:r w:rsidR="00637C46" w:rsidRPr="00771C6C">
        <w:rPr>
          <w:rFonts w:ascii="Verdana" w:hAnsi="Verdana" w:cs="Times New Roman"/>
        </w:rPr>
        <w:t>3</w:t>
      </w:r>
      <w:r w:rsidRPr="00771C6C">
        <w:rPr>
          <w:rFonts w:ascii="Verdana" w:hAnsi="Verdana" w:cs="Times New Roman"/>
        </w:rPr>
        <w:t xml:space="preserve"> other types of agreed-upon procedures engagements</w:t>
      </w:r>
      <w:r w:rsidR="0019247F" w:rsidRPr="00771C6C">
        <w:rPr>
          <w:rFonts w:ascii="Verdana" w:hAnsi="Verdana" w:cs="Times New Roman"/>
        </w:rPr>
        <w:t xml:space="preserve"> that should not be confused with the statewide AUPs</w:t>
      </w:r>
      <w:r w:rsidRPr="00771C6C">
        <w:rPr>
          <w:rFonts w:ascii="Verdana" w:hAnsi="Verdana" w:cs="Times New Roman"/>
        </w:rPr>
        <w:t>, as follows:</w:t>
      </w:r>
    </w:p>
    <w:p w14:paraId="15A69518" w14:textId="3865E7EA" w:rsidR="00600AFA" w:rsidRPr="00771C6C" w:rsidRDefault="00600AFA" w:rsidP="00254A13">
      <w:pPr>
        <w:pStyle w:val="ListParagraph"/>
        <w:numPr>
          <w:ilvl w:val="0"/>
          <w:numId w:val="41"/>
        </w:numPr>
        <w:spacing w:after="220"/>
        <w:ind w:left="1440" w:hanging="720"/>
        <w:contextualSpacing w:val="0"/>
        <w:jc w:val="both"/>
        <w:rPr>
          <w:rFonts w:ascii="Verdana" w:hAnsi="Verdana"/>
          <w:sz w:val="22"/>
          <w:szCs w:val="22"/>
        </w:rPr>
      </w:pPr>
      <w:r w:rsidRPr="00771C6C">
        <w:rPr>
          <w:rFonts w:ascii="Verdana" w:hAnsi="Verdana"/>
          <w:sz w:val="22"/>
          <w:szCs w:val="22"/>
        </w:rPr>
        <w:t xml:space="preserve">State entity (not “statewide”) agreed-upon procedures are required for certain engagements for entities that are included in the state’s </w:t>
      </w:r>
      <w:r w:rsidR="006E31FA" w:rsidRPr="00771C6C">
        <w:rPr>
          <w:rFonts w:ascii="Verdana" w:hAnsi="Verdana"/>
          <w:sz w:val="22"/>
          <w:szCs w:val="22"/>
        </w:rPr>
        <w:t>Annual Comprehensive Financial Report</w:t>
      </w:r>
      <w:r w:rsidRPr="00771C6C">
        <w:rPr>
          <w:rFonts w:ascii="Verdana" w:hAnsi="Verdana"/>
          <w:sz w:val="22"/>
          <w:szCs w:val="22"/>
        </w:rPr>
        <w:t>.  These engagements are contracted directly by the LLA’s Financial Audit Services group and do not apply to local governments or quasi-public entities.</w:t>
      </w:r>
    </w:p>
    <w:p w14:paraId="32B2859F" w14:textId="4188DD70" w:rsidR="0019247F" w:rsidRPr="00771C6C"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771C6C">
        <w:rPr>
          <w:rFonts w:ascii="Verdana" w:hAnsi="Verdana"/>
          <w:sz w:val="22"/>
          <w:szCs w:val="22"/>
        </w:rPr>
        <w:t xml:space="preserve">Review/Attest engagements include agreed-upon procedures for local governments and quasi-public entities that differ from the statewide AUPs and apply </w:t>
      </w:r>
      <w:r w:rsidR="00457DA8" w:rsidRPr="00771C6C">
        <w:rPr>
          <w:rFonts w:ascii="Verdana" w:hAnsi="Verdana"/>
          <w:sz w:val="22"/>
          <w:szCs w:val="22"/>
        </w:rPr>
        <w:t xml:space="preserve">only </w:t>
      </w:r>
      <w:r w:rsidRPr="00771C6C">
        <w:rPr>
          <w:rFonts w:ascii="Verdana" w:hAnsi="Verdana"/>
          <w:sz w:val="22"/>
          <w:szCs w:val="22"/>
        </w:rPr>
        <w:t xml:space="preserve">to those entities that receive public funds </w:t>
      </w:r>
      <w:r w:rsidR="006E31FA" w:rsidRPr="00771C6C">
        <w:rPr>
          <w:rFonts w:ascii="Verdana" w:hAnsi="Verdana"/>
          <w:sz w:val="22"/>
          <w:szCs w:val="22"/>
        </w:rPr>
        <w:t xml:space="preserve">of at least </w:t>
      </w:r>
      <w:r w:rsidRPr="00771C6C">
        <w:rPr>
          <w:rFonts w:ascii="Verdana" w:hAnsi="Verdana"/>
          <w:sz w:val="22"/>
          <w:szCs w:val="22"/>
        </w:rPr>
        <w:t xml:space="preserve">$200,000 </w:t>
      </w:r>
      <w:r w:rsidR="006E31FA" w:rsidRPr="00771C6C">
        <w:rPr>
          <w:rFonts w:ascii="Verdana" w:hAnsi="Verdana"/>
          <w:sz w:val="22"/>
          <w:szCs w:val="22"/>
        </w:rPr>
        <w:t>but not more than</w:t>
      </w:r>
      <w:r w:rsidRPr="00771C6C">
        <w:rPr>
          <w:rFonts w:ascii="Verdana" w:hAnsi="Verdana"/>
          <w:sz w:val="22"/>
          <w:szCs w:val="22"/>
        </w:rPr>
        <w:t xml:space="preserve"> $</w:t>
      </w:r>
      <w:r w:rsidR="006E31FA" w:rsidRPr="00771C6C">
        <w:rPr>
          <w:rFonts w:ascii="Verdana" w:hAnsi="Verdana"/>
          <w:sz w:val="22"/>
          <w:szCs w:val="22"/>
        </w:rPr>
        <w:t>499,999</w:t>
      </w:r>
      <w:r w:rsidRPr="00771C6C">
        <w:rPr>
          <w:rFonts w:ascii="Verdana" w:hAnsi="Verdana"/>
          <w:sz w:val="22"/>
          <w:szCs w:val="22"/>
        </w:rPr>
        <w:t>.</w:t>
      </w:r>
    </w:p>
    <w:p w14:paraId="3E830B7D" w14:textId="77777777" w:rsidR="0019247F" w:rsidRPr="00771C6C"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771C6C">
        <w:rPr>
          <w:rFonts w:ascii="Verdana" w:hAnsi="Verdana"/>
          <w:sz w:val="22"/>
          <w:szCs w:val="22"/>
        </w:rPr>
        <w:t>Department of Education Performance Measures AUPs are required for school boards and charter schools.</w:t>
      </w:r>
    </w:p>
    <w:p w14:paraId="445C8FAE" w14:textId="7F72F8A8" w:rsidR="00600AFA" w:rsidRPr="00771C6C" w:rsidRDefault="0019247F" w:rsidP="00600AFA">
      <w:pPr>
        <w:jc w:val="both"/>
        <w:rPr>
          <w:rFonts w:ascii="Verdana" w:hAnsi="Verdana" w:cs="Times New Roman"/>
        </w:rPr>
      </w:pPr>
      <w:r w:rsidRPr="00771C6C">
        <w:rPr>
          <w:rFonts w:ascii="Verdana" w:hAnsi="Verdana" w:cs="Times New Roman"/>
        </w:rPr>
        <w:t xml:space="preserve">More than one set of </w:t>
      </w:r>
      <w:r w:rsidR="00874B9C" w:rsidRPr="00771C6C">
        <w:rPr>
          <w:rFonts w:ascii="Verdana" w:hAnsi="Verdana" w:cs="Times New Roman"/>
        </w:rPr>
        <w:t>agreed-upon procedures</w:t>
      </w:r>
      <w:r w:rsidRPr="00771C6C">
        <w:rPr>
          <w:rFonts w:ascii="Verdana" w:hAnsi="Verdana" w:cs="Times New Roman"/>
        </w:rPr>
        <w:t xml:space="preserve"> may be required, depending on whether each </w:t>
      </w:r>
      <w:r w:rsidR="00457DA8" w:rsidRPr="00771C6C">
        <w:rPr>
          <w:rFonts w:ascii="Verdana" w:hAnsi="Verdana" w:cs="Times New Roman"/>
        </w:rPr>
        <w:t>criterion</w:t>
      </w:r>
      <w:r w:rsidRPr="00771C6C">
        <w:rPr>
          <w:rFonts w:ascii="Verdana" w:hAnsi="Verdana" w:cs="Times New Roman"/>
        </w:rPr>
        <w:t xml:space="preserve"> above has been met.  For example, a parish school board with public funds of $500,000 or greater would be subject to both the statewide AUPs and the Department of Education Performance Measures AUPs.</w:t>
      </w:r>
    </w:p>
    <w:p w14:paraId="675F047B" w14:textId="77777777" w:rsidR="00773CBA" w:rsidRPr="00771C6C" w:rsidRDefault="00773CBA" w:rsidP="00263767">
      <w:pPr>
        <w:jc w:val="both"/>
        <w:rPr>
          <w:rFonts w:ascii="Verdana" w:hAnsi="Verdana" w:cs="Times New Roman"/>
          <w:b/>
          <w:i/>
          <w:u w:val="single"/>
        </w:rPr>
      </w:pPr>
      <w:bookmarkStart w:id="38" w:name="_Hlk78797847"/>
      <w:bookmarkStart w:id="39" w:name="OPTIONS_ALTERNATIVES"/>
      <w:r w:rsidRPr="00771C6C">
        <w:rPr>
          <w:rFonts w:ascii="Verdana" w:hAnsi="Verdana" w:cs="Times New Roman"/>
          <w:b/>
          <w:i/>
          <w:u w:val="single"/>
        </w:rPr>
        <w:t>Options and Alternatives</w:t>
      </w:r>
    </w:p>
    <w:bookmarkEnd w:id="38"/>
    <w:bookmarkEnd w:id="39"/>
    <w:p w14:paraId="64A13B3E" w14:textId="77777777" w:rsidR="003B616A" w:rsidRPr="00771C6C" w:rsidRDefault="00B03132" w:rsidP="003B616A">
      <w:pPr>
        <w:jc w:val="both"/>
        <w:rPr>
          <w:rFonts w:ascii="Verdana" w:hAnsi="Verdana" w:cs="Times New Roman"/>
        </w:rPr>
      </w:pPr>
      <w:r w:rsidRPr="00771C6C">
        <w:rPr>
          <w:rFonts w:ascii="Verdana" w:hAnsi="Verdana" w:cs="Times New Roman"/>
        </w:rPr>
        <w:t xml:space="preserve">The practitioner may avoid duplication of </w:t>
      </w:r>
      <w:r w:rsidR="00AE1DA2" w:rsidRPr="00771C6C">
        <w:rPr>
          <w:rFonts w:ascii="Verdana" w:hAnsi="Verdana" w:cs="Times New Roman"/>
        </w:rPr>
        <w:t>existing audit procedures</w:t>
      </w:r>
      <w:r w:rsidRPr="00771C6C">
        <w:rPr>
          <w:rFonts w:ascii="Verdana" w:hAnsi="Verdana" w:cs="Times New Roman"/>
        </w:rPr>
        <w:t xml:space="preserve"> by using the same transactions for both audit and AUP purposes</w:t>
      </w:r>
      <w:r w:rsidR="00AE1DA2" w:rsidRPr="00771C6C">
        <w:rPr>
          <w:rFonts w:ascii="Verdana" w:hAnsi="Verdana" w:cs="Times New Roman"/>
        </w:rPr>
        <w:t xml:space="preserve">.  For example, if the </w:t>
      </w:r>
      <w:r w:rsidR="00023AF8" w:rsidRPr="00771C6C">
        <w:rPr>
          <w:rFonts w:ascii="Verdana" w:hAnsi="Verdana" w:cs="Times New Roman"/>
        </w:rPr>
        <w:t>AUP</w:t>
      </w:r>
      <w:r w:rsidR="00B162BA" w:rsidRPr="00771C6C">
        <w:rPr>
          <w:rFonts w:ascii="Verdana" w:hAnsi="Verdana" w:cs="Times New Roman"/>
        </w:rPr>
        <w:t>s indicate</w:t>
      </w:r>
      <w:r w:rsidR="00AE1DA2" w:rsidRPr="00771C6C">
        <w:rPr>
          <w:rFonts w:ascii="Verdana" w:hAnsi="Verdana" w:cs="Times New Roman"/>
        </w:rPr>
        <w:t xml:space="preserve"> that </w:t>
      </w:r>
      <w:r w:rsidR="00FE02E7" w:rsidRPr="00771C6C">
        <w:rPr>
          <w:rFonts w:ascii="Verdana" w:hAnsi="Verdana" w:cs="Times New Roman"/>
        </w:rPr>
        <w:t>10</w:t>
      </w:r>
      <w:r w:rsidR="00AE1DA2" w:rsidRPr="00771C6C">
        <w:rPr>
          <w:rFonts w:ascii="Verdana" w:hAnsi="Verdana" w:cs="Times New Roman"/>
        </w:rPr>
        <w:t xml:space="preserve"> random transactions should be selected and the practitioner would otherwise plan </w:t>
      </w:r>
      <w:r w:rsidR="00AE1DA2" w:rsidRPr="00771C6C">
        <w:rPr>
          <w:rFonts w:ascii="Verdana" w:hAnsi="Verdana" w:cs="Times New Roman"/>
        </w:rPr>
        <w:lastRenderedPageBreak/>
        <w:t xml:space="preserve">to test </w:t>
      </w:r>
      <w:r w:rsidR="00FE02E7" w:rsidRPr="00771C6C">
        <w:rPr>
          <w:rFonts w:ascii="Verdana" w:hAnsi="Verdana" w:cs="Times New Roman"/>
        </w:rPr>
        <w:t>25</w:t>
      </w:r>
      <w:r w:rsidR="00AE1DA2" w:rsidRPr="00771C6C">
        <w:rPr>
          <w:rFonts w:ascii="Verdana" w:hAnsi="Verdana" w:cs="Times New Roman"/>
        </w:rPr>
        <w:t xml:space="preserve"> random transactions as part of the entity’s audit, the practitioner may use </w:t>
      </w:r>
      <w:r w:rsidR="00B162BA" w:rsidRPr="00771C6C">
        <w:rPr>
          <w:rFonts w:ascii="Verdana" w:hAnsi="Verdana" w:cs="Times New Roman"/>
        </w:rPr>
        <w:t xml:space="preserve">the same </w:t>
      </w:r>
      <w:r w:rsidR="00FE02E7" w:rsidRPr="00771C6C">
        <w:rPr>
          <w:rFonts w:ascii="Verdana" w:hAnsi="Verdana" w:cs="Times New Roman"/>
        </w:rPr>
        <w:t>10</w:t>
      </w:r>
      <w:r w:rsidR="00AE1DA2" w:rsidRPr="00771C6C">
        <w:rPr>
          <w:rFonts w:ascii="Verdana" w:hAnsi="Verdana" w:cs="Times New Roman"/>
        </w:rPr>
        <w:t xml:space="preserve"> transactions for both the audit and the </w:t>
      </w:r>
      <w:r w:rsidR="00023AF8" w:rsidRPr="00771C6C">
        <w:rPr>
          <w:rFonts w:ascii="Verdana" w:hAnsi="Verdana" w:cs="Times New Roman"/>
        </w:rPr>
        <w:t>AUP</w:t>
      </w:r>
      <w:r w:rsidR="00AE1DA2" w:rsidRPr="00771C6C">
        <w:rPr>
          <w:rFonts w:ascii="Verdana" w:hAnsi="Verdana" w:cs="Times New Roman"/>
        </w:rPr>
        <w:t xml:space="preserve"> engagement.</w:t>
      </w:r>
      <w:r w:rsidR="003B616A" w:rsidRPr="00771C6C">
        <w:rPr>
          <w:rFonts w:ascii="Verdana" w:hAnsi="Verdana" w:cs="Times New Roman"/>
        </w:rPr>
        <w:t xml:space="preserve"> </w:t>
      </w:r>
    </w:p>
    <w:p w14:paraId="413C829C" w14:textId="54079FD6" w:rsidR="003B616A" w:rsidRPr="00771C6C" w:rsidRDefault="003B616A" w:rsidP="003B616A">
      <w:pPr>
        <w:jc w:val="both"/>
        <w:rPr>
          <w:rFonts w:ascii="Verdana" w:hAnsi="Verdana" w:cs="Times New Roman"/>
        </w:rPr>
      </w:pPr>
      <w:r w:rsidRPr="00771C6C">
        <w:rPr>
          <w:rFonts w:ascii="Verdana" w:hAnsi="Verdana" w:cs="Times New Roman"/>
        </w:rPr>
        <w:t xml:space="preserve">To avoid creating an undue burden on practitioners, the AUPs may be performed for a 12-month “fiscal period” that does not coincide with the entity’s fiscal year, as long as the 12-month fiscal period is no more than 3 months prior to the end of the entity’s fiscal year.  For example, the practitioner may perform AUPs for the fiscal period </w:t>
      </w:r>
      <w:r w:rsidR="00254A13" w:rsidRPr="00771C6C">
        <w:rPr>
          <w:rFonts w:ascii="Verdana" w:hAnsi="Verdana" w:cs="Times New Roman"/>
        </w:rPr>
        <w:br/>
      </w:r>
      <w:r w:rsidRPr="00771C6C">
        <w:rPr>
          <w:rFonts w:ascii="Verdana" w:hAnsi="Verdana" w:cs="Times New Roman"/>
        </w:rPr>
        <w:t xml:space="preserve">April 1, </w:t>
      </w:r>
      <w:r w:rsidR="00EC2781" w:rsidRPr="00771C6C">
        <w:rPr>
          <w:rFonts w:ascii="Verdana" w:hAnsi="Verdana" w:cs="Times New Roman"/>
        </w:rPr>
        <w:t>202</w:t>
      </w:r>
      <w:r w:rsidR="00EC2781">
        <w:rPr>
          <w:rFonts w:ascii="Verdana" w:hAnsi="Verdana" w:cs="Times New Roman"/>
        </w:rPr>
        <w:t>5</w:t>
      </w:r>
      <w:r w:rsidR="00EC2781" w:rsidRPr="00771C6C">
        <w:rPr>
          <w:rFonts w:ascii="Verdana" w:hAnsi="Verdana" w:cs="Times New Roman"/>
        </w:rPr>
        <w:t xml:space="preserve"> </w:t>
      </w:r>
      <w:r w:rsidRPr="00771C6C">
        <w:rPr>
          <w:rFonts w:ascii="Verdana" w:hAnsi="Verdana" w:cs="Times New Roman"/>
        </w:rPr>
        <w:t xml:space="preserve">through March 31, </w:t>
      </w:r>
      <w:r w:rsidR="00EC2781" w:rsidRPr="00771C6C">
        <w:rPr>
          <w:rFonts w:ascii="Verdana" w:hAnsi="Verdana" w:cs="Times New Roman"/>
        </w:rPr>
        <w:t>202</w:t>
      </w:r>
      <w:r w:rsidR="00EC2781">
        <w:rPr>
          <w:rFonts w:ascii="Verdana" w:hAnsi="Verdana" w:cs="Times New Roman"/>
        </w:rPr>
        <w:t>6</w:t>
      </w:r>
      <w:r w:rsidR="00EC2781" w:rsidRPr="00771C6C">
        <w:rPr>
          <w:rFonts w:ascii="Verdana" w:hAnsi="Verdana" w:cs="Times New Roman"/>
        </w:rPr>
        <w:t xml:space="preserve"> </w:t>
      </w:r>
      <w:r w:rsidRPr="00771C6C">
        <w:rPr>
          <w:rFonts w:ascii="Verdana" w:hAnsi="Verdana" w:cs="Times New Roman"/>
        </w:rPr>
        <w:t xml:space="preserve">for an entity with a fiscal year ending June 30, </w:t>
      </w:r>
      <w:r w:rsidR="00EC2781" w:rsidRPr="00771C6C">
        <w:rPr>
          <w:rFonts w:ascii="Verdana" w:hAnsi="Verdana" w:cs="Times New Roman"/>
        </w:rPr>
        <w:t>202</w:t>
      </w:r>
      <w:r w:rsidR="00EC2781">
        <w:rPr>
          <w:rFonts w:ascii="Verdana" w:hAnsi="Verdana" w:cs="Times New Roman"/>
        </w:rPr>
        <w:t>6</w:t>
      </w:r>
      <w:r w:rsidRPr="00771C6C">
        <w:rPr>
          <w:rFonts w:ascii="Verdana" w:hAnsi="Verdana" w:cs="Times New Roman"/>
        </w:rPr>
        <w:t>.  All AUPs will reference “fiscal period” to mean the 12-months covered by the AUPs.  If the entity elects to change its “fiscal period,” the subsequent year of AUP testing must not leave a gap between fiscal periods.  For example, a change from a March 31 fiscal period end to a June 30 fiscal period end would require a 15-month AUP engagement in the year of change.</w:t>
      </w:r>
    </w:p>
    <w:p w14:paraId="10DB93A9" w14:textId="177601F1" w:rsidR="003B616A" w:rsidRPr="00771C6C" w:rsidRDefault="003B616A" w:rsidP="0058696F">
      <w:pPr>
        <w:jc w:val="both"/>
        <w:rPr>
          <w:rFonts w:ascii="Verdana" w:hAnsi="Verdana" w:cs="Times New Roman"/>
          <w:b/>
          <w:i/>
          <w:u w:val="single"/>
        </w:rPr>
      </w:pPr>
      <w:bookmarkStart w:id="40" w:name="SPECIAL_CONSIDERATION_SCHOOL_BOARD"/>
      <w:r w:rsidRPr="00771C6C">
        <w:rPr>
          <w:rFonts w:ascii="Verdana" w:hAnsi="Verdana" w:cs="Times New Roman"/>
          <w:b/>
          <w:i/>
          <w:u w:val="single"/>
        </w:rPr>
        <w:t>Special Consideration for School Boards</w:t>
      </w:r>
    </w:p>
    <w:bookmarkEnd w:id="40"/>
    <w:p w14:paraId="131F41D6" w14:textId="798EF3DC" w:rsidR="004E6A3D" w:rsidRPr="00771C6C" w:rsidRDefault="004E6A3D" w:rsidP="0058696F">
      <w:pPr>
        <w:jc w:val="both"/>
        <w:rPr>
          <w:rFonts w:ascii="Verdana" w:hAnsi="Verdana" w:cs="Times New Roman"/>
        </w:rPr>
      </w:pPr>
      <w:r w:rsidRPr="00771C6C">
        <w:rPr>
          <w:rFonts w:ascii="Verdana" w:hAnsi="Verdana" w:cs="Times New Roman"/>
        </w:rPr>
        <w:t>For school boards only, the practitioner should consider the deposit site and collection location to be the same if there is a central person (secretary or bookkeeper) through which collections are deposited.</w:t>
      </w:r>
      <w:r w:rsidR="00C54B58" w:rsidRPr="00771C6C">
        <w:rPr>
          <w:rFonts w:ascii="Verdana" w:hAnsi="Verdana" w:cs="Times New Roman"/>
        </w:rPr>
        <w:t xml:space="preserve">  The practitioner is required to test documentation at the secretary/bookkeeper level </w:t>
      </w:r>
      <w:r w:rsidR="007F0E74" w:rsidRPr="00771C6C">
        <w:rPr>
          <w:rFonts w:ascii="Verdana" w:hAnsi="Verdana" w:cs="Times New Roman"/>
        </w:rPr>
        <w:t xml:space="preserve">only </w:t>
      </w:r>
      <w:r w:rsidR="00C54B58" w:rsidRPr="00771C6C">
        <w:rPr>
          <w:rFonts w:ascii="Verdana" w:hAnsi="Verdana" w:cs="Times New Roman"/>
        </w:rPr>
        <w:t>and is not required to test for completeness of revenues relative to classroom collections by teachers.</w:t>
      </w:r>
      <w:r w:rsidR="00E574CA" w:rsidRPr="00771C6C">
        <w:rPr>
          <w:rStyle w:val="FootnoteReference"/>
          <w:rFonts w:ascii="Verdana" w:hAnsi="Verdana" w:cs="Times New Roman"/>
        </w:rPr>
        <w:footnoteReference w:id="6"/>
      </w:r>
    </w:p>
    <w:p w14:paraId="1571886C" w14:textId="60412106" w:rsidR="00534473" w:rsidRDefault="00534473" w:rsidP="00534473">
      <w:pPr>
        <w:jc w:val="both"/>
        <w:rPr>
          <w:rFonts w:ascii="Verdana" w:hAnsi="Verdana" w:cs="Times New Roman"/>
          <w:b/>
          <w:i/>
          <w:u w:val="single"/>
        </w:rPr>
      </w:pPr>
      <w:bookmarkStart w:id="41" w:name="Special_Consideration_for_Charter_School"/>
      <w:bookmarkEnd w:id="41"/>
      <w:r w:rsidRPr="00C441DF">
        <w:rPr>
          <w:rFonts w:ascii="Verdana" w:hAnsi="Verdana" w:cs="Times New Roman"/>
          <w:b/>
          <w:i/>
          <w:u w:val="single"/>
        </w:rPr>
        <w:t xml:space="preserve">Special Consideration </w:t>
      </w:r>
      <w:r>
        <w:rPr>
          <w:rFonts w:ascii="Verdana" w:hAnsi="Verdana" w:cs="Times New Roman"/>
          <w:b/>
          <w:i/>
          <w:u w:val="single"/>
        </w:rPr>
        <w:t>for</w:t>
      </w:r>
      <w:r w:rsidRPr="00C441DF">
        <w:rPr>
          <w:rFonts w:ascii="Verdana" w:hAnsi="Verdana" w:cs="Times New Roman"/>
          <w:b/>
          <w:i/>
          <w:u w:val="single"/>
        </w:rPr>
        <w:t xml:space="preserve"> Charter Schools</w:t>
      </w:r>
    </w:p>
    <w:p w14:paraId="06A88317" w14:textId="438BC06A" w:rsidR="00573E33" w:rsidRPr="00C441DF" w:rsidRDefault="00573E33" w:rsidP="00573E33">
      <w:pPr>
        <w:jc w:val="both"/>
        <w:rPr>
          <w:rFonts w:ascii="Verdana" w:hAnsi="Verdana" w:cs="Times New Roman"/>
        </w:rPr>
      </w:pPr>
      <w:r w:rsidRPr="00C441DF">
        <w:rPr>
          <w:rFonts w:ascii="Verdana" w:hAnsi="Verdana" w:cs="Times New Roman"/>
        </w:rPr>
        <w:t xml:space="preserve">Some charter schools operate with a central or third-party business office that provides accounting, payroll, or other administrative services for multiple schools. Practitioners </w:t>
      </w:r>
      <w:r w:rsidR="009A3C35">
        <w:rPr>
          <w:rFonts w:ascii="Verdana" w:hAnsi="Verdana" w:cs="Times New Roman"/>
        </w:rPr>
        <w:t xml:space="preserve">performing the work at both the central or </w:t>
      </w:r>
      <w:r w:rsidR="003003ED">
        <w:rPr>
          <w:rFonts w:ascii="Verdana" w:hAnsi="Verdana" w:cs="Times New Roman"/>
        </w:rPr>
        <w:t>third-party</w:t>
      </w:r>
      <w:r w:rsidR="009A3C35">
        <w:rPr>
          <w:rFonts w:ascii="Verdana" w:hAnsi="Verdana" w:cs="Times New Roman"/>
        </w:rPr>
        <w:t xml:space="preserve"> business office and the individual charter school(s) </w:t>
      </w:r>
      <w:r w:rsidRPr="00C441DF">
        <w:rPr>
          <w:rFonts w:ascii="Verdana" w:hAnsi="Verdana" w:cs="Times New Roman"/>
        </w:rPr>
        <w:t>should take this structure into account when applying the SAUPs:</w:t>
      </w:r>
    </w:p>
    <w:p w14:paraId="364EA063" w14:textId="029FD3DD" w:rsidR="00573E33" w:rsidRPr="00C441DF" w:rsidRDefault="00573E33" w:rsidP="00C441DF">
      <w:pPr>
        <w:pStyle w:val="ListParagraph"/>
        <w:numPr>
          <w:ilvl w:val="0"/>
          <w:numId w:val="83"/>
        </w:numPr>
        <w:jc w:val="both"/>
        <w:rPr>
          <w:rFonts w:ascii="Verdana" w:hAnsi="Verdana"/>
        </w:rPr>
      </w:pPr>
      <w:r w:rsidRPr="00C441DF">
        <w:rPr>
          <w:rFonts w:ascii="Verdana" w:hAnsi="Verdana"/>
          <w:sz w:val="22"/>
          <w:szCs w:val="22"/>
        </w:rPr>
        <w:t>Shared Office Functions: When functions such as payroll, accounts payable, or bank reconciliations are performed centrally, testing may be performed once at the shared office level, provided the practitioner confirms that the shared office performs the function consistently for all schools it serves.</w:t>
      </w:r>
    </w:p>
    <w:p w14:paraId="63257E36" w14:textId="77777777" w:rsidR="00573E33" w:rsidRPr="00C441DF" w:rsidRDefault="00573E33" w:rsidP="00C441DF">
      <w:pPr>
        <w:jc w:val="both"/>
        <w:rPr>
          <w:rFonts w:ascii="Verdana" w:hAnsi="Verdana"/>
        </w:rPr>
      </w:pPr>
    </w:p>
    <w:p w14:paraId="1EDC5159" w14:textId="5E399C13" w:rsidR="00573E33" w:rsidRPr="00C441DF" w:rsidRDefault="00573E33" w:rsidP="00C441DF">
      <w:pPr>
        <w:pStyle w:val="ListParagraph"/>
        <w:numPr>
          <w:ilvl w:val="0"/>
          <w:numId w:val="83"/>
        </w:numPr>
        <w:jc w:val="both"/>
        <w:rPr>
          <w:rFonts w:ascii="Verdana" w:hAnsi="Verdana"/>
        </w:rPr>
      </w:pPr>
      <w:r w:rsidRPr="00C441DF">
        <w:rPr>
          <w:rFonts w:ascii="Verdana" w:hAnsi="Verdana"/>
          <w:sz w:val="22"/>
          <w:szCs w:val="22"/>
        </w:rPr>
        <w:t xml:space="preserve">School-Specific Functions: Procedures that relate to activities occurring at the individual school site must be tested separately for each school. </w:t>
      </w:r>
    </w:p>
    <w:p w14:paraId="34D395EC" w14:textId="11E92231" w:rsidR="00507EB3" w:rsidRPr="007E36C2" w:rsidRDefault="00507EB3" w:rsidP="00507EB3">
      <w:pPr>
        <w:pStyle w:val="SectionHeader"/>
        <w:rPr>
          <w:rFonts w:ascii="Verdana" w:hAnsi="Verdana"/>
        </w:rPr>
      </w:pPr>
      <w:r w:rsidRPr="007E36C2">
        <w:rPr>
          <w:rFonts w:ascii="Verdana" w:hAnsi="Verdana"/>
        </w:rPr>
        <w:lastRenderedPageBreak/>
        <w:t>PROCEDURES</w:t>
      </w:r>
    </w:p>
    <w:p w14:paraId="342B3EA6" w14:textId="77777777" w:rsidR="00507EB3" w:rsidRPr="00F02CF2" w:rsidRDefault="00507EB3" w:rsidP="00507EB3">
      <w:pPr>
        <w:pBdr>
          <w:bottom w:val="single" w:sz="18" w:space="1" w:color="053A63"/>
        </w:pBdr>
        <w:jc w:val="center"/>
        <w:rPr>
          <w:rFonts w:ascii="Verdana" w:hAnsi="Verdana"/>
        </w:rPr>
      </w:pPr>
    </w:p>
    <w:p w14:paraId="691A71AA" w14:textId="2902E119" w:rsidR="00C5660E" w:rsidRPr="008A45FE" w:rsidRDefault="00C5660E" w:rsidP="00C5660E">
      <w:pPr>
        <w:spacing w:after="120"/>
        <w:jc w:val="both"/>
        <w:rPr>
          <w:rFonts w:ascii="Verdana" w:hAnsi="Verdana" w:cs="Times New Roman"/>
        </w:rPr>
      </w:pPr>
      <w:r w:rsidRPr="00AF501D">
        <w:rPr>
          <w:rFonts w:ascii="Verdana" w:hAnsi="Verdana" w:cs="Times New Roman"/>
        </w:rPr>
        <w:t xml:space="preserve">Report all findings to the following procedures, either after each procedure or after all procedures, within each of the fourteen AUP categories.  “Random” selections may be made using Microsoft Excel’s random number generator or an alternate method selected by the practitioner that results in an equivalent sample (e.g., those methods allowed under the AICPA Audit Guide - </w:t>
      </w:r>
      <w:r w:rsidRPr="00AF501D">
        <w:rPr>
          <w:rFonts w:ascii="Verdana" w:hAnsi="Verdana" w:cs="Times New Roman"/>
          <w:i/>
        </w:rPr>
        <w:t>Audit Sampling</w:t>
      </w:r>
      <w:r w:rsidRPr="00AF501D">
        <w:rPr>
          <w:rFonts w:ascii="Verdana" w:hAnsi="Verdana" w:cs="Times New Roman"/>
        </w:rPr>
        <w:t>).</w:t>
      </w:r>
      <w:r w:rsidR="00417F03" w:rsidRPr="00AF501D">
        <w:rPr>
          <w:rFonts w:ascii="Verdana" w:hAnsi="Verdana" w:cs="Times New Roman"/>
        </w:rPr>
        <w:t xml:space="preserve"> </w:t>
      </w:r>
    </w:p>
    <w:p w14:paraId="36876551" w14:textId="134A8695" w:rsidR="00C5660E" w:rsidRPr="00A07286" w:rsidRDefault="00C5660E" w:rsidP="00C5660E">
      <w:pPr>
        <w:spacing w:after="120"/>
        <w:jc w:val="both"/>
        <w:rPr>
          <w:rFonts w:ascii="Verdana" w:hAnsi="Verdana" w:cs="Times New Roman"/>
          <w:highlight w:val="yellow"/>
        </w:rPr>
      </w:pPr>
    </w:p>
    <w:p w14:paraId="0346B71C" w14:textId="77777777" w:rsidR="00C5660E" w:rsidRPr="00771C6C"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42" w:name="WRITTEN_POLICIES_PROCEDURES"/>
      <w:r w:rsidRPr="00771C6C">
        <w:rPr>
          <w:rFonts w:ascii="Verdana" w:hAnsi="Verdana"/>
          <w:b/>
          <w:i/>
          <w:color w:val="000000"/>
          <w:sz w:val="22"/>
          <w:szCs w:val="22"/>
        </w:rPr>
        <w:t>Written Policies and Procedures</w:t>
      </w:r>
    </w:p>
    <w:bookmarkEnd w:id="42"/>
    <w:p w14:paraId="4AEB691D" w14:textId="77777777" w:rsidR="00C5660E" w:rsidRPr="00771C6C" w:rsidRDefault="00C5660E" w:rsidP="00C5660E">
      <w:pPr>
        <w:spacing w:after="0" w:line="240" w:lineRule="auto"/>
        <w:rPr>
          <w:rFonts w:ascii="Verdana" w:eastAsia="Times New Roman" w:hAnsi="Verdana" w:cs="Times New Roman"/>
          <w:color w:val="000000"/>
        </w:rPr>
      </w:pPr>
    </w:p>
    <w:p w14:paraId="442C635D" w14:textId="77777777" w:rsidR="00C5660E" w:rsidRPr="00771C6C" w:rsidRDefault="00C5660E" w:rsidP="00885A96">
      <w:pPr>
        <w:numPr>
          <w:ilvl w:val="0"/>
          <w:numId w:val="4"/>
        </w:numPr>
        <w:spacing w:line="240" w:lineRule="auto"/>
        <w:ind w:hanging="720"/>
        <w:jc w:val="both"/>
        <w:rPr>
          <w:rFonts w:ascii="Verdana" w:eastAsia="Times New Roman" w:hAnsi="Verdana" w:cs="Times New Roman"/>
        </w:rPr>
      </w:pPr>
      <w:r w:rsidRPr="00771C6C">
        <w:rPr>
          <w:rFonts w:ascii="Verdana" w:eastAsia="Times New Roman" w:hAnsi="Verdana" w:cs="Times New Roman"/>
        </w:rPr>
        <w:t>Obtain and inspect the entity’s written policies and procedures and observe whether they address each of the following categories and subcategories if applicable to public funds and the entity’s operations:</w:t>
      </w:r>
      <w:r w:rsidRPr="00771C6C">
        <w:rPr>
          <w:rStyle w:val="FootnoteReference"/>
          <w:rFonts w:ascii="Verdana" w:eastAsia="Times New Roman" w:hAnsi="Verdana" w:cs="Times New Roman"/>
        </w:rPr>
        <w:footnoteReference w:id="7"/>
      </w:r>
    </w:p>
    <w:p w14:paraId="75ECD1DB"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Budgeting</w:t>
      </w:r>
      <w:r w:rsidRPr="00771C6C">
        <w:rPr>
          <w:rFonts w:ascii="Verdana" w:eastAsia="Calibri" w:hAnsi="Verdana" w:cs="Times New Roman"/>
        </w:rPr>
        <w:t>, including preparing, adopting, monitoring, and amending the budget.</w:t>
      </w:r>
    </w:p>
    <w:p w14:paraId="193BAE0E"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Purchasing</w:t>
      </w:r>
      <w:r w:rsidRPr="00771C6C">
        <w:rPr>
          <w:rFonts w:ascii="Verdana" w:eastAsia="Calibri" w:hAnsi="Verdana" w:cs="Times New Roman"/>
        </w:rPr>
        <w:t xml:space="preserve">, including (1) how purchases are initiated, (2) how vendors are added to the vendor list, (3) the preparation and approval process of purchase requisitions and purchase orders, (4) controls to ensure compliance with the Public Bid Law, and (5) documentation required to be maintained for all bids and price quotes. </w:t>
      </w:r>
    </w:p>
    <w:p w14:paraId="21910D5B"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Disbursements</w:t>
      </w:r>
      <w:r w:rsidRPr="00771C6C">
        <w:rPr>
          <w:rFonts w:ascii="Verdana" w:eastAsia="Calibri" w:hAnsi="Verdana" w:cs="Times New Roman"/>
        </w:rPr>
        <w:t>, including processing, reviewing, and approving.</w:t>
      </w:r>
    </w:p>
    <w:p w14:paraId="54BA0D5C"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Receipts/Collections</w:t>
      </w:r>
      <w:r w:rsidRPr="00771C6C">
        <w:rPr>
          <w:rFonts w:ascii="Verdana" w:eastAsia="Calibri" w:hAnsi="Verdana" w:cs="Times New Roman"/>
        </w:rPr>
        <w:t>, including receiving, recording, and preparing deposits.  Also, policies and procedures should include management’s actions to determine the completeness of all collections for each type of revenue or agency fund additions (e.g., periodic confirmation with outside parties, reconciliation to utility billing after cutoff procedures, reconciliation of traffic ticket number sequences, agency fund forfeiture monies confirmation).</w:t>
      </w:r>
    </w:p>
    <w:p w14:paraId="009F7032" w14:textId="77777777" w:rsidR="00C5660E" w:rsidRPr="00771C6C" w:rsidRDefault="00C5660E" w:rsidP="00885A96">
      <w:pPr>
        <w:numPr>
          <w:ilvl w:val="0"/>
          <w:numId w:val="7"/>
        </w:numPr>
        <w:tabs>
          <w:tab w:val="clear" w:pos="720"/>
          <w:tab w:val="num" w:pos="36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Payroll/Personnel</w:t>
      </w:r>
      <w:r w:rsidRPr="00771C6C">
        <w:rPr>
          <w:rFonts w:ascii="Verdana" w:eastAsia="Calibri" w:hAnsi="Verdana" w:cs="Times New Roman"/>
        </w:rPr>
        <w:t>, including (1) payroll processing, (2) reviewing and approving time and attendance records, including leave and overtime worked, and (3) approval process for employee rates of pay or approval and maintenance of pay rate schedules.</w:t>
      </w:r>
    </w:p>
    <w:p w14:paraId="7F9FE59C"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lastRenderedPageBreak/>
        <w:t>Contracting</w:t>
      </w:r>
      <w:r w:rsidRPr="00771C6C">
        <w:rPr>
          <w:rFonts w:ascii="Verdana" w:eastAsia="Calibri" w:hAnsi="Verdana" w:cs="Times New Roman"/>
        </w:rPr>
        <w:t>, including (1) types of services requiring written contracts, (2) standard terms and conditions, (3) legal review, (4) approval process, and (5) monitoring process.</w:t>
      </w:r>
    </w:p>
    <w:p w14:paraId="34387B66"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Travel and Expense Reimbursement</w:t>
      </w:r>
      <w:r w:rsidRPr="00771C6C">
        <w:rPr>
          <w:rFonts w:ascii="Verdana" w:eastAsia="Calibri" w:hAnsi="Verdana" w:cs="Times New Roman"/>
        </w:rPr>
        <w:t>, including (1) allowable expenses, (2) dollar thresholds by category of expense, (3) documentation requirements, and (4) required approvers.</w:t>
      </w:r>
    </w:p>
    <w:p w14:paraId="75E2C275"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Credit Cards (and debit cards, fuel cards, purchase cards, if applicable)</w:t>
      </w:r>
      <w:r w:rsidRPr="00771C6C">
        <w:rPr>
          <w:rFonts w:ascii="Verdana" w:eastAsia="Calibri" w:hAnsi="Verdana" w:cs="Times New Roman"/>
        </w:rPr>
        <w:t>, including (1) how cards are to be controlled, (2) allowable business uses, (3) documentation requirements, (4) required approvers of statements, and (5) monitoring card usage (e.g., determining the reasonableness of fuel card purchases).</w:t>
      </w:r>
    </w:p>
    <w:p w14:paraId="174AEA82"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Ethics</w:t>
      </w:r>
      <w:r w:rsidRPr="00771C6C">
        <w:rPr>
          <w:rStyle w:val="FootnoteReference"/>
          <w:rFonts w:ascii="Verdana" w:eastAsia="Calibri" w:hAnsi="Verdana" w:cs="Times New Roman"/>
          <w:b/>
          <w:i/>
        </w:rPr>
        <w:footnoteReference w:id="8"/>
      </w:r>
      <w:r w:rsidRPr="00771C6C">
        <w:rPr>
          <w:rFonts w:ascii="Verdana" w:eastAsia="Calibri" w:hAnsi="Verdana" w:cs="Times New Roman"/>
        </w:rPr>
        <w:t>, including (1) the prohibitions as defined in Louisiana Revised Statute (R.S.) 42:1111-1121, (2) actions to be taken if an ethics violation takes place, (3) system to monitor possible ethics violations, and (4) a requirement that documentation is maintained to demonstrate that all employees and officials were notified of any changes to the entity’s ethics policy.</w:t>
      </w:r>
    </w:p>
    <w:p w14:paraId="30133533"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Debt Service</w:t>
      </w:r>
      <w:r w:rsidRPr="00771C6C">
        <w:rPr>
          <w:rFonts w:ascii="Verdana" w:eastAsia="Calibri" w:hAnsi="Verdana" w:cs="Times New Roman"/>
        </w:rPr>
        <w:t>, including (1) debt issuance approval, (2) continuing disclosure/EMMA reporting requirements, (3) debt reserve requirements, and (4) debt service requirements.</w:t>
      </w:r>
    </w:p>
    <w:p w14:paraId="6BECB34D" w14:textId="77777777" w:rsidR="00C5660E" w:rsidRPr="00771C6C"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Information Technology Disaster Recovery/Business Continuity</w:t>
      </w:r>
      <w:r w:rsidRPr="00771C6C">
        <w:rPr>
          <w:rFonts w:ascii="Verdana" w:eastAsia="Calibri" w:hAnsi="Verdana" w:cs="Times New Roman"/>
        </w:rPr>
        <w:t>, including (1) identification of critical data and frequency of data backups, (2) storage of backups in a separate physical location isolated from the network, (3) periodic testing/verification that backups can be restored, (4) use of antivirus software on all systems, (5) timely application of all available system and software patches/updates, and (6) identification of personnel, processes, and tools needed to recover operations after a critical event.</w:t>
      </w:r>
    </w:p>
    <w:p w14:paraId="72A77FA4" w14:textId="40BEC1AE" w:rsidR="00C5660E"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b/>
          <w:i/>
        </w:rPr>
        <w:t>Prevention of Sexual Harassment</w:t>
      </w:r>
      <w:r w:rsidRPr="00771C6C">
        <w:rPr>
          <w:rFonts w:ascii="Verdana" w:eastAsia="Calibri" w:hAnsi="Verdana" w:cs="Times New Roman"/>
        </w:rPr>
        <w:t>, including R.S. 42:342-344 requirements for (1) agency responsibilities and prohibitions, (2) annual employee training, and (3) annual reporting.</w:t>
      </w:r>
    </w:p>
    <w:p w14:paraId="7119136A" w14:textId="6A0AB63A" w:rsidR="00496B63" w:rsidRDefault="00496B63" w:rsidP="00496B63">
      <w:pPr>
        <w:spacing w:after="120" w:line="240" w:lineRule="auto"/>
        <w:jc w:val="both"/>
        <w:rPr>
          <w:rFonts w:ascii="Verdana" w:eastAsia="Calibri" w:hAnsi="Verdana" w:cs="Times New Roman"/>
        </w:rPr>
      </w:pPr>
    </w:p>
    <w:p w14:paraId="37FDBE7D" w14:textId="77777777" w:rsidR="00496B63" w:rsidRPr="00771C6C" w:rsidRDefault="00496B63" w:rsidP="00496B63">
      <w:pPr>
        <w:spacing w:after="120" w:line="240" w:lineRule="auto"/>
        <w:jc w:val="both"/>
        <w:rPr>
          <w:rFonts w:ascii="Verdana" w:eastAsia="Calibri" w:hAnsi="Verdana" w:cs="Times New Roman"/>
        </w:rPr>
      </w:pPr>
    </w:p>
    <w:p w14:paraId="1ED89B5C" w14:textId="77777777" w:rsidR="00C5660E" w:rsidRPr="00771C6C" w:rsidRDefault="00C5660E" w:rsidP="00C5660E">
      <w:pPr>
        <w:spacing w:after="0" w:line="240" w:lineRule="auto"/>
        <w:jc w:val="both"/>
        <w:rPr>
          <w:rFonts w:ascii="Verdana" w:eastAsia="Times New Roman" w:hAnsi="Verdana" w:cs="Times New Roman"/>
          <w:b/>
          <w:i/>
        </w:rPr>
      </w:pPr>
    </w:p>
    <w:p w14:paraId="76CCD7BC" w14:textId="77777777" w:rsidR="00C5660E" w:rsidRPr="00771C6C"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43" w:name="BOARD_FINANCE_COMMITTEE"/>
      <w:r w:rsidRPr="00771C6C">
        <w:rPr>
          <w:rFonts w:ascii="Verdana" w:eastAsia="Calibri" w:hAnsi="Verdana"/>
          <w:b/>
          <w:i/>
          <w:sz w:val="22"/>
          <w:szCs w:val="22"/>
        </w:rPr>
        <w:lastRenderedPageBreak/>
        <w:t>Board or Finance Committee</w:t>
      </w:r>
      <w:bookmarkEnd w:id="43"/>
      <w:r w:rsidRPr="00771C6C">
        <w:rPr>
          <w:rStyle w:val="FootnoteReference"/>
          <w:rFonts w:ascii="Verdana" w:eastAsia="Calibri" w:hAnsi="Verdana"/>
          <w:b/>
          <w:i/>
          <w:sz w:val="22"/>
          <w:szCs w:val="22"/>
        </w:rPr>
        <w:footnoteReference w:id="9"/>
      </w:r>
    </w:p>
    <w:p w14:paraId="2B7D33CB" w14:textId="77777777" w:rsidR="00C5660E" w:rsidRPr="00771C6C" w:rsidRDefault="00C5660E" w:rsidP="00C5660E">
      <w:pPr>
        <w:spacing w:after="0"/>
        <w:jc w:val="both"/>
        <w:rPr>
          <w:rFonts w:ascii="Verdana" w:eastAsia="Calibri" w:hAnsi="Verdana" w:cs="Times New Roman"/>
        </w:rPr>
      </w:pPr>
    </w:p>
    <w:p w14:paraId="7D38CD2E" w14:textId="77777777" w:rsidR="00C5660E" w:rsidRPr="00771C6C" w:rsidRDefault="00C5660E" w:rsidP="00885A96">
      <w:pPr>
        <w:numPr>
          <w:ilvl w:val="0"/>
          <w:numId w:val="8"/>
        </w:numPr>
        <w:tabs>
          <w:tab w:val="clear" w:pos="360"/>
          <w:tab w:val="num" w:pos="720"/>
        </w:tabs>
        <w:spacing w:line="240" w:lineRule="auto"/>
        <w:ind w:left="720" w:hanging="720"/>
        <w:jc w:val="both"/>
        <w:rPr>
          <w:rFonts w:ascii="Verdana" w:eastAsia="Calibri" w:hAnsi="Verdana" w:cs="Times New Roman"/>
        </w:rPr>
      </w:pPr>
      <w:r w:rsidRPr="00771C6C">
        <w:rPr>
          <w:rFonts w:ascii="Verdana" w:eastAsia="Calibri" w:hAnsi="Verdana" w:cs="Times New Roman"/>
        </w:rPr>
        <w:t>Obtain and inspect the board/finance committee minutes for the fiscal period, as well as the board’s enabling legislation, charter, bylaws, or equivalent document in effect during the fiscal period, and</w:t>
      </w:r>
    </w:p>
    <w:p w14:paraId="07246722" w14:textId="77777777" w:rsidR="00C5660E" w:rsidRPr="00771C6C"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rPr>
        <w:t>Observe that the board/finance committee met with a quorum at least monthly, or on a frequency in accordance with the board’s enabling legislation, charter, bylaws, or other equivalent document.</w:t>
      </w:r>
    </w:p>
    <w:p w14:paraId="1A953BED" w14:textId="74BD5FE1" w:rsidR="00C5660E" w:rsidRPr="002060D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927A60">
        <w:rPr>
          <w:rFonts w:ascii="Verdana" w:eastAsia="Calibri" w:hAnsi="Verdana" w:cs="Times New Roman"/>
        </w:rPr>
        <w:t xml:space="preserve">For those entities reporting on the governmental accounting model, </w:t>
      </w:r>
      <w:r w:rsidR="00AA1CEA" w:rsidRPr="002060D0">
        <w:rPr>
          <w:rFonts w:ascii="Verdana" w:eastAsia="Calibri" w:hAnsi="Verdana" w:cs="Times New Roman"/>
        </w:rPr>
        <w:t xml:space="preserve">review the minutes from all </w:t>
      </w:r>
      <w:r w:rsidR="002060D0">
        <w:rPr>
          <w:rFonts w:ascii="Verdana" w:eastAsia="Calibri" w:hAnsi="Verdana" w:cs="Times New Roman"/>
        </w:rPr>
        <w:t>regularly scheduled board</w:t>
      </w:r>
      <w:r w:rsidR="009A3BDA">
        <w:rPr>
          <w:rFonts w:ascii="Verdana" w:eastAsia="Calibri" w:hAnsi="Verdana" w:cs="Times New Roman"/>
        </w:rPr>
        <w:t>/finance committee</w:t>
      </w:r>
      <w:r w:rsidR="002060D0">
        <w:rPr>
          <w:rFonts w:ascii="Verdana" w:eastAsia="Calibri" w:hAnsi="Verdana" w:cs="Times New Roman"/>
        </w:rPr>
        <w:t xml:space="preserve"> </w:t>
      </w:r>
      <w:r w:rsidR="00AA1CEA" w:rsidRPr="002060D0">
        <w:rPr>
          <w:rFonts w:ascii="Verdana" w:eastAsia="Calibri" w:hAnsi="Verdana" w:cs="Times New Roman"/>
        </w:rPr>
        <w:t>meeting</w:t>
      </w:r>
      <w:r w:rsidR="002060D0">
        <w:rPr>
          <w:rFonts w:ascii="Verdana" w:eastAsia="Calibri" w:hAnsi="Verdana" w:cs="Times New Roman"/>
        </w:rPr>
        <w:t>s</w:t>
      </w:r>
      <w:r w:rsidR="00AA1CEA" w:rsidRPr="002060D0">
        <w:rPr>
          <w:rFonts w:ascii="Verdana" w:eastAsia="Calibri" w:hAnsi="Verdana" w:cs="Times New Roman"/>
        </w:rPr>
        <w:t xml:space="preserve"> </w:t>
      </w:r>
      <w:r w:rsidR="001F7FD3" w:rsidRPr="002060D0">
        <w:rPr>
          <w:rFonts w:ascii="Verdana" w:eastAsia="Calibri" w:hAnsi="Verdana" w:cs="Times New Roman"/>
        </w:rPr>
        <w:t>held</w:t>
      </w:r>
      <w:r w:rsidR="00AA1CEA" w:rsidRPr="002060D0">
        <w:rPr>
          <w:rFonts w:ascii="Verdana" w:eastAsia="Calibri" w:hAnsi="Verdana" w:cs="Times New Roman"/>
        </w:rPr>
        <w:t xml:space="preserve"> during the fiscal year and </w:t>
      </w:r>
      <w:r w:rsidRPr="002060D0">
        <w:rPr>
          <w:rFonts w:ascii="Verdana" w:eastAsia="Calibri" w:hAnsi="Verdana" w:cs="Times New Roman"/>
        </w:rPr>
        <w:t xml:space="preserve">observe whether the minutes </w:t>
      </w:r>
      <w:r w:rsidR="00A24888">
        <w:rPr>
          <w:rFonts w:ascii="Verdana" w:eastAsia="Calibri" w:hAnsi="Verdana" w:cs="Times New Roman"/>
        </w:rPr>
        <w:t xml:space="preserve">from at least one meeting </w:t>
      </w:r>
      <w:r w:rsidR="00816F40">
        <w:rPr>
          <w:rFonts w:ascii="Verdana" w:eastAsia="Calibri" w:hAnsi="Verdana" w:cs="Times New Roman"/>
        </w:rPr>
        <w:t xml:space="preserve">each month </w:t>
      </w:r>
      <w:r w:rsidRPr="002060D0">
        <w:rPr>
          <w:rFonts w:ascii="Verdana" w:eastAsia="Calibri" w:hAnsi="Verdana" w:cs="Times New Roman"/>
        </w:rPr>
        <w:t>referenced or included monthly budget-to-actual comparisons on the general fund, quarterly budget-to-actual</w:t>
      </w:r>
      <w:r w:rsidR="005A63E8" w:rsidRPr="002060D0">
        <w:rPr>
          <w:rFonts w:ascii="Verdana" w:eastAsia="Calibri" w:hAnsi="Verdana" w:cs="Times New Roman"/>
        </w:rPr>
        <w:t xml:space="preserve"> comparisons</w:t>
      </w:r>
      <w:r w:rsidRPr="002060D0">
        <w:rPr>
          <w:rFonts w:ascii="Verdana" w:eastAsia="Calibri" w:hAnsi="Verdana" w:cs="Times New Roman"/>
        </w:rPr>
        <w:t>, at a minimum, on</w:t>
      </w:r>
      <w:r w:rsidR="00C82B3C" w:rsidRPr="002060D0">
        <w:rPr>
          <w:rFonts w:ascii="Verdana" w:eastAsia="Calibri" w:hAnsi="Verdana" w:cs="Times New Roman"/>
        </w:rPr>
        <w:t xml:space="preserve"> all</w:t>
      </w:r>
      <w:r w:rsidRPr="002060D0">
        <w:rPr>
          <w:rFonts w:ascii="Verdana" w:eastAsia="Calibri" w:hAnsi="Verdana" w:cs="Times New Roman"/>
        </w:rPr>
        <w:t xml:space="preserve"> proprietary funds</w:t>
      </w:r>
      <w:r w:rsidRPr="00927A60">
        <w:rPr>
          <w:rStyle w:val="FootnoteReference"/>
          <w:rFonts w:ascii="Verdana" w:eastAsia="Calibri" w:hAnsi="Verdana" w:cs="Times New Roman"/>
        </w:rPr>
        <w:footnoteReference w:id="10"/>
      </w:r>
      <w:r w:rsidRPr="00927A60">
        <w:rPr>
          <w:rFonts w:ascii="Verdana" w:eastAsia="Calibri" w:hAnsi="Verdana" w:cs="Times New Roman"/>
        </w:rPr>
        <w:t>, and semi-annual budget-to-actual</w:t>
      </w:r>
      <w:r w:rsidR="005A63E8" w:rsidRPr="002060D0">
        <w:rPr>
          <w:rFonts w:ascii="Verdana" w:eastAsia="Calibri" w:hAnsi="Verdana" w:cs="Times New Roman"/>
        </w:rPr>
        <w:t xml:space="preserve"> comparisons</w:t>
      </w:r>
      <w:r w:rsidRPr="002060D0">
        <w:rPr>
          <w:rFonts w:ascii="Verdana" w:eastAsia="Calibri" w:hAnsi="Verdana" w:cs="Times New Roman"/>
        </w:rPr>
        <w:t>, at a minimum, on all special revenue funds.</w:t>
      </w:r>
      <w:r w:rsidRPr="002060D0">
        <w:rPr>
          <w:rStyle w:val="FootnoteReference"/>
          <w:rFonts w:ascii="Verdana" w:eastAsia="Calibri" w:hAnsi="Verdana" w:cs="Times New Roman"/>
        </w:rPr>
        <w:t xml:space="preserve"> </w:t>
      </w:r>
      <w:r w:rsidRPr="002060D0">
        <w:rPr>
          <w:rFonts w:ascii="Verdana" w:eastAsia="Calibri" w:hAnsi="Verdana" w:cs="Times New Roman"/>
          <w:i/>
        </w:rPr>
        <w:t xml:space="preserve">Alternatively, for those entities reporting on the </w:t>
      </w:r>
      <w:r w:rsidR="00B65BBB" w:rsidRPr="002060D0">
        <w:rPr>
          <w:rFonts w:ascii="Verdana" w:eastAsia="Calibri" w:hAnsi="Verdana" w:cs="Times New Roman"/>
          <w:i/>
        </w:rPr>
        <w:t>not-for-profit</w:t>
      </w:r>
      <w:r w:rsidRPr="002060D0">
        <w:rPr>
          <w:rFonts w:ascii="Verdana" w:eastAsia="Calibri" w:hAnsi="Verdana" w:cs="Times New Roman"/>
          <w:i/>
        </w:rPr>
        <w:t xml:space="preserve"> accounting model, observe that the minutes referenced or included financial activity relating to public </w:t>
      </w:r>
      <w:r w:rsidRPr="00F02CF2">
        <w:rPr>
          <w:rFonts w:ascii="Verdana" w:eastAsia="Calibri" w:hAnsi="Verdana" w:cs="Times New Roman"/>
          <w:i/>
        </w:rPr>
        <w:t>funds</w:t>
      </w:r>
      <w:r w:rsidRPr="00927A60">
        <w:rPr>
          <w:rStyle w:val="FootnoteReference"/>
          <w:rFonts w:ascii="Verdana" w:eastAsia="Calibri" w:hAnsi="Verdana" w:cs="Times New Roman"/>
          <w:i/>
        </w:rPr>
        <w:footnoteReference w:id="11"/>
      </w:r>
      <w:r w:rsidRPr="00927A60">
        <w:rPr>
          <w:rFonts w:ascii="Verdana" w:eastAsia="Calibri" w:hAnsi="Verdana" w:cs="Times New Roman"/>
          <w:i/>
        </w:rPr>
        <w:t xml:space="preserve"> if those public funds comprised more than 10% of the entity’s collections during the fiscal period.</w:t>
      </w:r>
    </w:p>
    <w:p w14:paraId="6A28ABE4" w14:textId="77777777" w:rsidR="00C5660E" w:rsidRPr="00771C6C"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771C6C">
        <w:rPr>
          <w:rFonts w:ascii="Verdana" w:eastAsia="Calibri" w:hAnsi="Verdana" w:cs="Times New Roman"/>
        </w:rPr>
        <w:t>For governmental entities, obtain the prior year audit report and observe the unassigned fund balance in the general fund.  If the general fund had a negative ending unassigned fund balance in the prior year audit report, observe that the minutes for at least one meeting during the fiscal period referenced or included a formal plan to eliminate the negative unassigned fund balance in the general fund.</w:t>
      </w:r>
    </w:p>
    <w:p w14:paraId="35573DE5" w14:textId="4C441FE4" w:rsidR="00C5660E" w:rsidRPr="00771C6C" w:rsidRDefault="00C5660E" w:rsidP="009D10A2">
      <w:pPr>
        <w:pStyle w:val="ListParagraph"/>
        <w:numPr>
          <w:ilvl w:val="0"/>
          <w:numId w:val="60"/>
        </w:numPr>
        <w:tabs>
          <w:tab w:val="clear" w:pos="720"/>
          <w:tab w:val="num" w:pos="1440"/>
        </w:tabs>
        <w:ind w:left="1440" w:hanging="720"/>
        <w:rPr>
          <w:rFonts w:ascii="Verdana" w:hAnsi="Verdana"/>
          <w:sz w:val="22"/>
          <w:szCs w:val="22"/>
        </w:rPr>
      </w:pPr>
      <w:r w:rsidRPr="00771C6C">
        <w:rPr>
          <w:rFonts w:ascii="Verdana" w:eastAsia="Calibri" w:hAnsi="Verdana"/>
          <w:sz w:val="22"/>
          <w:szCs w:val="22"/>
        </w:rPr>
        <w:t>Observe whether the board/finance committee received written updates of the progress of resolving audit finding(s)</w:t>
      </w:r>
      <w:r w:rsidR="007B2B9C" w:rsidRPr="00771C6C">
        <w:rPr>
          <w:rFonts w:ascii="Verdana" w:eastAsia="Calibri" w:hAnsi="Verdana"/>
          <w:sz w:val="22"/>
          <w:szCs w:val="22"/>
        </w:rPr>
        <w:t>,</w:t>
      </w:r>
      <w:r w:rsidRPr="00771C6C">
        <w:rPr>
          <w:rFonts w:ascii="Verdana" w:eastAsia="Calibri" w:hAnsi="Verdana"/>
          <w:sz w:val="22"/>
          <w:szCs w:val="22"/>
        </w:rPr>
        <w:t xml:space="preserve"> </w:t>
      </w:r>
      <w:r w:rsidR="006344D0" w:rsidRPr="00771C6C">
        <w:rPr>
          <w:rFonts w:ascii="Verdana" w:eastAsia="Calibri" w:hAnsi="Verdana"/>
          <w:sz w:val="22"/>
          <w:szCs w:val="22"/>
        </w:rPr>
        <w:t xml:space="preserve">according to </w:t>
      </w:r>
      <w:r w:rsidRPr="00771C6C">
        <w:rPr>
          <w:rFonts w:ascii="Verdana" w:eastAsia="Calibri" w:hAnsi="Verdana"/>
          <w:sz w:val="22"/>
          <w:szCs w:val="22"/>
        </w:rPr>
        <w:t>management’s corrective action plan at each meeting until the findings are considered fully resolved.</w:t>
      </w:r>
      <w:r w:rsidR="001C75F0" w:rsidRPr="00771C6C">
        <w:rPr>
          <w:rStyle w:val="FootnoteReference"/>
          <w:rFonts w:ascii="Verdana" w:eastAsia="Calibri" w:hAnsi="Verdana"/>
          <w:sz w:val="22"/>
          <w:szCs w:val="22"/>
        </w:rPr>
        <w:footnoteReference w:id="12"/>
      </w:r>
    </w:p>
    <w:p w14:paraId="6EEE3B87" w14:textId="77777777" w:rsidR="00C5660E" w:rsidRPr="00C730F6" w:rsidRDefault="00C5660E" w:rsidP="00C5660E">
      <w:pPr>
        <w:spacing w:after="0" w:line="240" w:lineRule="auto"/>
        <w:jc w:val="both"/>
        <w:rPr>
          <w:rFonts w:ascii="Verdana" w:eastAsia="Times New Roman" w:hAnsi="Verdana" w:cs="Times New Roman"/>
          <w:b/>
          <w:i/>
          <w:highlight w:val="yellow"/>
        </w:rPr>
      </w:pPr>
    </w:p>
    <w:p w14:paraId="446E92DE" w14:textId="77777777" w:rsidR="00C5660E" w:rsidRPr="00771C6C"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44" w:name="BANK_RECONCILIATIONS"/>
      <w:r w:rsidRPr="00771C6C">
        <w:rPr>
          <w:rFonts w:ascii="Verdana" w:hAnsi="Verdana"/>
          <w:b/>
          <w:i/>
          <w:color w:val="000000"/>
          <w:sz w:val="22"/>
          <w:szCs w:val="22"/>
        </w:rPr>
        <w:lastRenderedPageBreak/>
        <w:t>Bank Reconciliations</w:t>
      </w:r>
    </w:p>
    <w:bookmarkEnd w:id="44"/>
    <w:p w14:paraId="61052CFB" w14:textId="77777777" w:rsidR="00C5660E" w:rsidRPr="00771C6C" w:rsidRDefault="00C5660E" w:rsidP="00C5660E">
      <w:pPr>
        <w:spacing w:after="0" w:line="240" w:lineRule="auto"/>
        <w:rPr>
          <w:rFonts w:ascii="Verdana" w:eastAsia="Times New Roman" w:hAnsi="Verdana" w:cs="Times New Roman"/>
          <w:b/>
          <w:i/>
        </w:rPr>
      </w:pPr>
    </w:p>
    <w:p w14:paraId="1E9B8D53" w14:textId="77C1CF60" w:rsidR="00C5660E" w:rsidRPr="00771C6C" w:rsidRDefault="00C5660E" w:rsidP="009D10A2">
      <w:pPr>
        <w:numPr>
          <w:ilvl w:val="0"/>
          <w:numId w:val="11"/>
        </w:numPr>
        <w:tabs>
          <w:tab w:val="clear" w:pos="360"/>
          <w:tab w:val="num" w:pos="720"/>
        </w:tabs>
        <w:spacing w:after="120" w:line="240" w:lineRule="auto"/>
        <w:ind w:left="720" w:hanging="720"/>
        <w:jc w:val="both"/>
        <w:rPr>
          <w:rFonts w:ascii="Verdana" w:eastAsia="Calibri" w:hAnsi="Verdana" w:cs="Times New Roman"/>
        </w:rPr>
      </w:pPr>
      <w:r w:rsidRPr="00771C6C">
        <w:rPr>
          <w:rFonts w:ascii="Verdana" w:eastAsia="Calibri" w:hAnsi="Verdana" w:cs="Times New Roman"/>
        </w:rPr>
        <w:t>Obtain a listing of entity bank accounts for the fiscal period from management and management’s representation that the listing is complete.  Ask management to identify the entity’s main operating account.  Select the entity’s main operating account and randomly select 4 additional accounts</w:t>
      </w:r>
      <w:r w:rsidRPr="00771C6C">
        <w:rPr>
          <w:rStyle w:val="FootnoteReference"/>
          <w:rFonts w:ascii="Verdana" w:eastAsia="Calibri" w:hAnsi="Verdana" w:cs="Times New Roman"/>
        </w:rPr>
        <w:footnoteReference w:id="13"/>
      </w:r>
      <w:r w:rsidRPr="00771C6C">
        <w:rPr>
          <w:rFonts w:ascii="Verdana" w:eastAsia="Calibri" w:hAnsi="Verdana" w:cs="Times New Roman"/>
        </w:rPr>
        <w:t xml:space="preserve"> (or all accounts if less than 5).  Randomly select one month from the fiscal period, obtain and inspect the corresponding bank statement and reconciliation for each selected account, and observe that</w:t>
      </w:r>
      <w:r w:rsidR="00A85B72" w:rsidRPr="00771C6C">
        <w:rPr>
          <w:rFonts w:ascii="Verdana" w:eastAsia="Calibri" w:hAnsi="Verdana" w:cs="Times New Roman"/>
        </w:rPr>
        <w:t>:</w:t>
      </w:r>
    </w:p>
    <w:p w14:paraId="50897175" w14:textId="77777777" w:rsidR="00C5660E" w:rsidRPr="00771C6C" w:rsidRDefault="00C5660E" w:rsidP="009D10A2">
      <w:pPr>
        <w:numPr>
          <w:ilvl w:val="0"/>
          <w:numId w:val="61"/>
        </w:numPr>
        <w:tabs>
          <w:tab w:val="clear" w:pos="720"/>
          <w:tab w:val="num" w:pos="1440"/>
        </w:tabs>
        <w:spacing w:after="120" w:line="240" w:lineRule="auto"/>
        <w:ind w:left="1440" w:hanging="720"/>
        <w:jc w:val="both"/>
        <w:rPr>
          <w:rFonts w:ascii="Verdana" w:eastAsia="Calibri" w:hAnsi="Verdana"/>
        </w:rPr>
      </w:pPr>
      <w:r w:rsidRPr="00771C6C">
        <w:rPr>
          <w:rFonts w:ascii="Verdana" w:eastAsia="Calibri" w:hAnsi="Verdana" w:cs="Times New Roman"/>
        </w:rPr>
        <w:t>Bank reconciliations include evidence that they were prepared within 2 months of the related statement closing date (e.g., initialed and dated or electronically logged);</w:t>
      </w:r>
    </w:p>
    <w:p w14:paraId="43D27A35" w14:textId="7C7563A7" w:rsidR="00C5660E" w:rsidRPr="00771C6C"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771C6C">
        <w:rPr>
          <w:rFonts w:ascii="Verdana" w:eastAsia="Calibri" w:hAnsi="Verdana"/>
          <w:sz w:val="22"/>
          <w:szCs w:val="22"/>
        </w:rPr>
        <w:t>Bank reconciliations include written evidence that a member of management or a board member who does not handle cash, post ledgers, or issue checks has reviewed each bank reconciliation</w:t>
      </w:r>
      <w:r w:rsidR="00223280" w:rsidRPr="00771C6C">
        <w:rPr>
          <w:rFonts w:ascii="Verdana" w:eastAsia="Calibri" w:hAnsi="Verdana"/>
          <w:sz w:val="22"/>
          <w:szCs w:val="22"/>
        </w:rPr>
        <w:t xml:space="preserve"> within</w:t>
      </w:r>
      <w:r w:rsidR="00933322" w:rsidRPr="00771C6C">
        <w:rPr>
          <w:rFonts w:ascii="Verdana" w:eastAsia="Calibri" w:hAnsi="Verdana"/>
          <w:sz w:val="22"/>
          <w:szCs w:val="22"/>
        </w:rPr>
        <w:t xml:space="preserve"> 1 month of the date the reconciliation was prepared</w:t>
      </w:r>
      <w:r w:rsidRPr="00771C6C">
        <w:rPr>
          <w:rFonts w:ascii="Verdana" w:eastAsia="Calibri" w:hAnsi="Verdana"/>
          <w:sz w:val="22"/>
          <w:szCs w:val="22"/>
        </w:rPr>
        <w:t xml:space="preserve"> (e.g., initialed and dated</w:t>
      </w:r>
      <w:r w:rsidR="00933322" w:rsidRPr="00771C6C">
        <w:rPr>
          <w:rFonts w:ascii="Verdana" w:eastAsia="Calibri" w:hAnsi="Verdana"/>
          <w:sz w:val="22"/>
          <w:szCs w:val="22"/>
        </w:rPr>
        <w:t xml:space="preserve"> or</w:t>
      </w:r>
      <w:r w:rsidRPr="00771C6C">
        <w:rPr>
          <w:rFonts w:ascii="Verdana" w:eastAsia="Calibri" w:hAnsi="Verdana"/>
          <w:sz w:val="22"/>
          <w:szCs w:val="22"/>
        </w:rPr>
        <w:t xml:space="preserve"> electronically logged); and</w:t>
      </w:r>
    </w:p>
    <w:p w14:paraId="7CA721E3" w14:textId="77777777" w:rsidR="00C5660E" w:rsidRPr="00771C6C"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771C6C">
        <w:rPr>
          <w:rFonts w:ascii="Verdana" w:eastAsia="Calibri" w:hAnsi="Verdana"/>
          <w:sz w:val="22"/>
          <w:szCs w:val="22"/>
        </w:rPr>
        <w:t>Management has documentation reflecting it has researched reconciling items that have been outstanding for more than 12 months from the statement closing date, if applicable.</w:t>
      </w:r>
    </w:p>
    <w:p w14:paraId="32CBEB1D" w14:textId="77777777" w:rsidR="00C5660E" w:rsidRPr="002467C2" w:rsidRDefault="00C5660E" w:rsidP="00C5660E">
      <w:pPr>
        <w:pStyle w:val="ListParagraph"/>
        <w:ind w:left="360"/>
        <w:jc w:val="both"/>
        <w:rPr>
          <w:rFonts w:ascii="Verdana" w:eastAsia="Calibri" w:hAnsi="Verdana"/>
          <w:sz w:val="22"/>
          <w:szCs w:val="22"/>
          <w:highlight w:val="yellow"/>
        </w:rPr>
      </w:pPr>
    </w:p>
    <w:p w14:paraId="540795DE" w14:textId="77777777" w:rsidR="00C5660E" w:rsidRPr="002467C2"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45" w:name="COLLECTIONS"/>
      <w:r w:rsidRPr="002467C2">
        <w:rPr>
          <w:rFonts w:ascii="Verdana" w:hAnsi="Verdana"/>
          <w:b/>
          <w:i/>
          <w:color w:val="000000"/>
          <w:sz w:val="22"/>
          <w:szCs w:val="22"/>
        </w:rPr>
        <w:t xml:space="preserve">Collections </w:t>
      </w:r>
      <w:bookmarkEnd w:id="45"/>
      <w:r w:rsidRPr="002467C2">
        <w:rPr>
          <w:rFonts w:ascii="Verdana" w:hAnsi="Verdana"/>
          <w:b/>
          <w:i/>
          <w:color w:val="000000"/>
          <w:sz w:val="22"/>
          <w:szCs w:val="22"/>
        </w:rPr>
        <w:t>(excluding electronic funds transfers)</w:t>
      </w:r>
      <w:r w:rsidRPr="002467C2">
        <w:rPr>
          <w:rStyle w:val="FootnoteReference"/>
          <w:rFonts w:ascii="Verdana" w:hAnsi="Verdana"/>
          <w:b/>
          <w:i/>
          <w:color w:val="000000"/>
          <w:sz w:val="22"/>
          <w:szCs w:val="22"/>
        </w:rPr>
        <w:footnoteReference w:id="14"/>
      </w:r>
    </w:p>
    <w:p w14:paraId="420D59CA" w14:textId="77777777" w:rsidR="00C5660E" w:rsidRPr="00F02CF2" w:rsidRDefault="00C5660E" w:rsidP="00C5660E">
      <w:pPr>
        <w:spacing w:after="0" w:line="240" w:lineRule="auto"/>
        <w:rPr>
          <w:rFonts w:ascii="Verdana" w:eastAsia="Times New Roman" w:hAnsi="Verdana" w:cs="Times New Roman"/>
          <w:b/>
          <w:i/>
        </w:rPr>
      </w:pPr>
    </w:p>
    <w:p w14:paraId="153A62B1" w14:textId="77777777" w:rsidR="00C5660E" w:rsidRPr="00F02CF2"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Obtain a listing of deposit sites</w:t>
      </w:r>
      <w:r w:rsidRPr="002467C2">
        <w:rPr>
          <w:rStyle w:val="FootnoteReference"/>
          <w:rFonts w:ascii="Verdana" w:eastAsia="Calibri" w:hAnsi="Verdana" w:cs="Times New Roman"/>
        </w:rPr>
        <w:footnoteReference w:id="15"/>
      </w:r>
      <w:r w:rsidRPr="002467C2">
        <w:rPr>
          <w:rFonts w:ascii="Verdana" w:eastAsia="Calibri" w:hAnsi="Verdana" w:cs="Times New Roman"/>
        </w:rPr>
        <w:t xml:space="preserve"> for the fiscal period where deposits for cash/checks/money orders (cash) are prepared and management’s representation that the listing is complete.  Randomly select 5 deposit sites (or all deposit sites if less than 5).  </w:t>
      </w:r>
    </w:p>
    <w:p w14:paraId="7BE8DEA3" w14:textId="77777777" w:rsidR="00C5660E" w:rsidRPr="00AF501D"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For each deposit site selected, obtain a listing of collection locations</w:t>
      </w:r>
      <w:r w:rsidRPr="002467C2">
        <w:rPr>
          <w:rStyle w:val="FootnoteReference"/>
          <w:rFonts w:ascii="Verdana" w:eastAsia="Calibri" w:hAnsi="Verdana" w:cs="Times New Roman"/>
        </w:rPr>
        <w:footnoteReference w:id="16"/>
      </w:r>
      <w:r w:rsidRPr="002467C2">
        <w:rPr>
          <w:rFonts w:ascii="Verdana" w:eastAsia="Calibri" w:hAnsi="Verdana" w:cs="Times New Roman"/>
        </w:rPr>
        <w:t xml:space="preserve"> and management’s representation that the listing is complete.  Randomly select one collection location for each deposit site (e.g., 5 collection locations for 5 </w:t>
      </w:r>
      <w:r w:rsidRPr="002467C2">
        <w:rPr>
          <w:rFonts w:ascii="Verdana" w:eastAsia="Calibri" w:hAnsi="Verdana" w:cs="Times New Roman"/>
        </w:rPr>
        <w:lastRenderedPageBreak/>
        <w:t>deposit sites), obtain and inspect written policies an</w:t>
      </w:r>
      <w:r w:rsidRPr="00F02CF2">
        <w:rPr>
          <w:rFonts w:ascii="Verdana" w:eastAsia="Calibri" w:hAnsi="Verdana" w:cs="Times New Roman"/>
        </w:rPr>
        <w:t>d procedures relating to employee job duties (if there are no written policies or procedures, then inquire of employees about their job duties) at each collection location, and observe that job duties are properly segregated at each collection location suc</w:t>
      </w:r>
      <w:r w:rsidRPr="00AF501D">
        <w:rPr>
          <w:rFonts w:ascii="Verdana" w:eastAsia="Calibri" w:hAnsi="Verdana" w:cs="Times New Roman"/>
        </w:rPr>
        <w:t>h that</w:t>
      </w:r>
    </w:p>
    <w:p w14:paraId="2FB21837" w14:textId="77777777"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F501D">
        <w:rPr>
          <w:rFonts w:ascii="Verdana" w:eastAsia="Calibri" w:hAnsi="Verdana" w:cs="Times New Roman"/>
        </w:rPr>
        <w:t>Employees responsible for cash collections do not share cash drawers/registers;</w:t>
      </w:r>
    </w:p>
    <w:p w14:paraId="5E57B957" w14:textId="77777777"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Each employee responsible for collecting cash is not also responsible for preparing/making bank deposits, unless another employee/official is responsible for reconciling collection documentation (e.g., pre-numbered receipts) to the deposit;</w:t>
      </w:r>
    </w:p>
    <w:p w14:paraId="666E23C2" w14:textId="77777777"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Each employee responsible for collecting cash is not also responsible for posting collection entries to the general ledger or subsidiary ledgers, unless another employee/official is responsible for reconciling ledger postings to each other and to the deposit; and</w:t>
      </w:r>
    </w:p>
    <w:p w14:paraId="2A5EAB8F" w14:textId="155704EA" w:rsidR="00C5660E" w:rsidRPr="00A07286"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 xml:space="preserve">The employee(s) responsible for reconciling cash collections to the general ledger and/or subsidiary ledgers, by revenue source and/or </w:t>
      </w:r>
      <w:r w:rsidR="00C82B3C" w:rsidRPr="00A07286">
        <w:rPr>
          <w:rFonts w:ascii="Verdana" w:eastAsia="Calibri" w:hAnsi="Verdana" w:cs="Times New Roman"/>
        </w:rPr>
        <w:t>custodial</w:t>
      </w:r>
      <w:r w:rsidRPr="00A07286">
        <w:rPr>
          <w:rFonts w:ascii="Verdana" w:eastAsia="Calibri" w:hAnsi="Verdana" w:cs="Times New Roman"/>
        </w:rPr>
        <w:t xml:space="preserve"> fund additions, is (are) not also responsible for collecting cash, unless another employee/official verifies the reconciliation.</w:t>
      </w:r>
    </w:p>
    <w:p w14:paraId="0CE85DE0" w14:textId="77777777" w:rsidR="00C5660E" w:rsidRPr="00A07286"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07286">
        <w:rPr>
          <w:rFonts w:ascii="Verdana" w:eastAsia="Calibri" w:hAnsi="Verdana" w:cs="Times New Roman"/>
        </w:rPr>
        <w:t>Obtain from management a copy of the bond or insurance policy for theft covering all employees who have access to cash. Observe that the bond or insurance policy for theft was in force during the fiscal period.</w:t>
      </w:r>
    </w:p>
    <w:p w14:paraId="49661472" w14:textId="3E7D0A9C" w:rsidR="00C5660E" w:rsidRPr="00A07286"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A07286">
        <w:rPr>
          <w:rFonts w:ascii="Verdana" w:eastAsia="Calibri" w:hAnsi="Verdana" w:cs="Times New Roman"/>
        </w:rPr>
        <w:t xml:space="preserve">Randomly select two deposit dates for each of the 5 bank accounts selected for Bank Reconciliations </w:t>
      </w:r>
      <w:r w:rsidRPr="00A07286">
        <w:rPr>
          <w:rFonts w:ascii="Verdana" w:eastAsia="Times New Roman" w:hAnsi="Verdana" w:cs="Times New Roman"/>
        </w:rPr>
        <w:t xml:space="preserve">procedure #3A (select the next deposit date chronologically if no deposits were made on the dates randomly selected and randomly select a deposit if multiple deposits are made on the same day).  </w:t>
      </w:r>
      <w:r w:rsidRPr="00A07286">
        <w:rPr>
          <w:rFonts w:ascii="Verdana" w:eastAsia="Times New Roman" w:hAnsi="Verdana" w:cs="Times New Roman"/>
          <w:i/>
        </w:rPr>
        <w:t>Alternatively, the practitioner may use a source document other than bank statements when selecting the deposit dates for testing, such as a cash collection log, daily revenue report, receipt book, etc.</w:t>
      </w:r>
      <w:r w:rsidRPr="00A07286">
        <w:rPr>
          <w:rFonts w:ascii="Verdana" w:eastAsia="Times New Roman" w:hAnsi="Verdana" w:cs="Times New Roman"/>
        </w:rPr>
        <w:t xml:space="preserve">  Obtain supporting documentation for each of the 10 deposits and</w:t>
      </w:r>
    </w:p>
    <w:p w14:paraId="6C2B2A7C" w14:textId="77777777" w:rsidR="00C5660E" w:rsidRPr="002467C2"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Observe that receipts are sequentially pre-numbered.</w:t>
      </w:r>
      <w:r w:rsidRPr="002467C2">
        <w:rPr>
          <w:rStyle w:val="FootnoteReference"/>
          <w:rFonts w:ascii="Verdana" w:eastAsia="Calibri" w:hAnsi="Verdana" w:cs="Times New Roman"/>
        </w:rPr>
        <w:footnoteReference w:id="17"/>
      </w:r>
    </w:p>
    <w:p w14:paraId="4F09C56A" w14:textId="77777777" w:rsidR="00C5660E" w:rsidRPr="00AF501D"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F02CF2">
        <w:rPr>
          <w:rFonts w:ascii="Verdana" w:eastAsia="Calibri" w:hAnsi="Verdana" w:cs="Times New Roman"/>
        </w:rPr>
        <w:t>Trace sequentially pre-numbered receipts, system reports, and other related collection documentation to the deposit slip.</w:t>
      </w:r>
    </w:p>
    <w:p w14:paraId="44E762C7" w14:textId="77777777" w:rsidR="00C5660E" w:rsidRPr="00AF501D"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F501D">
        <w:rPr>
          <w:rFonts w:ascii="Verdana" w:eastAsia="Calibri" w:hAnsi="Verdana" w:cs="Times New Roman"/>
        </w:rPr>
        <w:t>Trace the deposit slip total to the actual deposit per the bank statement.</w:t>
      </w:r>
    </w:p>
    <w:p w14:paraId="7BC53C03" w14:textId="11384AB9" w:rsidR="00C5660E" w:rsidRPr="00AF501D"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Observe that the deposit was made within one business day of receipt</w:t>
      </w:r>
      <w:r w:rsidR="00F94089" w:rsidRPr="002467C2">
        <w:rPr>
          <w:rStyle w:val="FootnoteReference"/>
          <w:rFonts w:ascii="Verdana" w:eastAsia="Calibri" w:hAnsi="Verdana" w:cs="Times New Roman"/>
        </w:rPr>
        <w:footnoteReference w:id="18"/>
      </w:r>
      <w:r w:rsidRPr="002467C2">
        <w:rPr>
          <w:rFonts w:ascii="Verdana" w:eastAsia="Calibri" w:hAnsi="Verdana" w:cs="Times New Roman"/>
        </w:rPr>
        <w:t xml:space="preserve"> at the collection location (within one week if the depo</w:t>
      </w:r>
      <w:r w:rsidRPr="00F02CF2">
        <w:rPr>
          <w:rFonts w:ascii="Verdana" w:eastAsia="Calibri" w:hAnsi="Verdana" w:cs="Times New Roman"/>
        </w:rPr>
        <w:t xml:space="preserve">sitory is more than </w:t>
      </w:r>
      <w:r w:rsidRPr="00F02CF2">
        <w:rPr>
          <w:rFonts w:ascii="Verdana" w:eastAsia="Calibri" w:hAnsi="Verdana" w:cs="Times New Roman"/>
        </w:rPr>
        <w:lastRenderedPageBreak/>
        <w:t>10 miles from the collection location or the deposit is less than $100 and the cash is stored securely in a locked safe or drawer).</w:t>
      </w:r>
      <w:r w:rsidR="00B110DB" w:rsidRPr="00AF501D">
        <w:rPr>
          <w:rFonts w:ascii="Verdana" w:eastAsia="Calibri" w:hAnsi="Verdana" w:cs="Times New Roman"/>
        </w:rPr>
        <w:t xml:space="preserve"> </w:t>
      </w:r>
    </w:p>
    <w:p w14:paraId="589C497B" w14:textId="77777777" w:rsidR="00C5660E" w:rsidRPr="00A07286"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AF501D">
        <w:rPr>
          <w:rFonts w:ascii="Verdana" w:eastAsia="Calibri" w:hAnsi="Verdana" w:cs="Times New Roman"/>
        </w:rPr>
        <w:t>Trace the actual deposit per the bank statement to the general ledger.</w:t>
      </w:r>
    </w:p>
    <w:p w14:paraId="7EBBE067" w14:textId="77777777" w:rsidR="00C5660E" w:rsidRPr="00A13194" w:rsidRDefault="00C5660E" w:rsidP="00C5660E">
      <w:pPr>
        <w:spacing w:after="0" w:line="240" w:lineRule="auto"/>
        <w:jc w:val="both"/>
        <w:rPr>
          <w:rFonts w:ascii="Verdana" w:eastAsia="Calibri" w:hAnsi="Verdana" w:cs="Times New Roman"/>
          <w:highlight w:val="yellow"/>
        </w:rPr>
      </w:pPr>
    </w:p>
    <w:p w14:paraId="089CBEC4" w14:textId="77777777" w:rsidR="00C5660E" w:rsidRPr="00F02CF2"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47" w:name="NONPAYROLL_DISBURSEMENTS"/>
      <w:r w:rsidRPr="002467C2">
        <w:rPr>
          <w:rFonts w:ascii="Verdana" w:eastAsia="Calibri" w:hAnsi="Verdana"/>
          <w:b/>
          <w:i/>
          <w:sz w:val="22"/>
          <w:szCs w:val="22"/>
        </w:rPr>
        <w:t xml:space="preserve">Non-Payroll Disbursements </w:t>
      </w:r>
      <w:bookmarkEnd w:id="47"/>
      <w:r w:rsidRPr="002467C2">
        <w:rPr>
          <w:rFonts w:ascii="Verdana" w:eastAsia="Calibri" w:hAnsi="Verdana"/>
          <w:b/>
          <w:i/>
          <w:sz w:val="22"/>
          <w:szCs w:val="22"/>
        </w:rPr>
        <w:t>(excluding card purchases, travel reimbursements, and petty cash purchases)</w:t>
      </w:r>
    </w:p>
    <w:p w14:paraId="004F15B0" w14:textId="77777777" w:rsidR="00C5660E" w:rsidRPr="00AF501D" w:rsidRDefault="00C5660E" w:rsidP="00C5660E">
      <w:pPr>
        <w:spacing w:after="0"/>
        <w:jc w:val="both"/>
        <w:rPr>
          <w:rFonts w:ascii="Verdana" w:eastAsia="Calibri" w:hAnsi="Verdana" w:cs="Times New Roman"/>
          <w:b/>
          <w:i/>
        </w:rPr>
      </w:pPr>
    </w:p>
    <w:p w14:paraId="74FFA20E" w14:textId="77777777" w:rsidR="00C5660E" w:rsidRPr="00AF501D"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Obtain a listing of locations that process payments for the fiscal period and management’s representation that the listing is complete.  Randomly select 5 locations (or all locations if less than 5).</w:t>
      </w:r>
    </w:p>
    <w:p w14:paraId="0DF8D7DF" w14:textId="77777777" w:rsidR="00C5660E" w:rsidRPr="00A07286"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A07286">
        <w:rPr>
          <w:rFonts w:ascii="Verdana" w:eastAsia="Calibri" w:hAnsi="Verdana" w:cs="Times New Roman"/>
        </w:rPr>
        <w:t>For each location selected under procedure #5A above, obtain a listing of those employees involved with non-payroll purchasing and payment functions.  Obtain written policies and procedures relating to employee job duties (if the agency has no written policies and procedures, then inquire of employees about their job duties), and observe that job duties are properly segregated such that</w:t>
      </w:r>
    </w:p>
    <w:p w14:paraId="1E7E2D5A"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At least two employees are involved in initiating a purchase request, approving a purchase, and placing an order or making the purchase;</w:t>
      </w:r>
    </w:p>
    <w:p w14:paraId="699E9708"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At least two employees are involved in processing and approving payments to vendors;</w:t>
      </w:r>
    </w:p>
    <w:p w14:paraId="0414F6BC"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The employee responsible for processing payments is prohibited from adding/modifying vendor files, unless another employee is responsible for periodically reviewing changes to vendor files;</w:t>
      </w:r>
    </w:p>
    <w:p w14:paraId="334A4232" w14:textId="77777777" w:rsidR="00C5660E" w:rsidRPr="00A072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Either the employee/official responsible for signing checks mails the payment or gives the signed checks to an employee to mail who is not responsible for processing payments; and</w:t>
      </w:r>
    </w:p>
    <w:p w14:paraId="42DA3EF9" w14:textId="56D01002" w:rsidR="00C5660E" w:rsidRPr="00F02CF2"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A07286">
        <w:rPr>
          <w:rFonts w:ascii="Verdana" w:eastAsia="Calibri" w:hAnsi="Verdana" w:cs="Times New Roman"/>
        </w:rPr>
        <w:t xml:space="preserve">Only employees/officials </w:t>
      </w:r>
      <w:r w:rsidR="007B2B9C" w:rsidRPr="00A07286">
        <w:rPr>
          <w:rFonts w:ascii="Verdana" w:eastAsia="Calibri" w:hAnsi="Verdana" w:cs="Times New Roman"/>
        </w:rPr>
        <w:t>authorized to sign</w:t>
      </w:r>
      <w:r w:rsidRPr="00A07286">
        <w:rPr>
          <w:rFonts w:ascii="Verdana" w:eastAsia="Calibri" w:hAnsi="Verdana" w:cs="Times New Roman"/>
        </w:rPr>
        <w:t xml:space="preserve"> checks approve the electronic disbursement (release) of funds, whether through automated clearinghouse (ACH), electronic funds transfer (EFT)</w:t>
      </w:r>
      <w:r w:rsidR="00F5540B" w:rsidRPr="002467C2">
        <w:rPr>
          <w:rStyle w:val="FootnoteReference"/>
          <w:rFonts w:ascii="Verdana" w:eastAsia="Calibri" w:hAnsi="Verdana" w:cs="Times New Roman"/>
        </w:rPr>
        <w:footnoteReference w:id="19"/>
      </w:r>
      <w:r w:rsidRPr="002467C2">
        <w:rPr>
          <w:rFonts w:ascii="Verdana" w:eastAsia="Calibri" w:hAnsi="Verdana" w:cs="Times New Roman"/>
        </w:rPr>
        <w:t>, wire transfer, or some other electronic means.</w:t>
      </w:r>
    </w:p>
    <w:p w14:paraId="49AEA2E2" w14:textId="77777777" w:rsidR="00C5660E" w:rsidRPr="00AF501D" w:rsidRDefault="00C5660E" w:rsidP="00A222BF">
      <w:pPr>
        <w:spacing w:after="120" w:line="240" w:lineRule="auto"/>
        <w:ind w:left="450"/>
        <w:jc w:val="both"/>
        <w:rPr>
          <w:rFonts w:ascii="Verdana" w:eastAsia="Calibri" w:hAnsi="Verdana" w:cs="Times New Roman"/>
          <w:i/>
        </w:rPr>
      </w:pPr>
      <w:r w:rsidRPr="00AF501D">
        <w:rPr>
          <w:rFonts w:ascii="Verdana" w:eastAsia="Calibri" w:hAnsi="Verdana" w:cs="Times New Roman"/>
          <w:i/>
        </w:rPr>
        <w:t>[Note: Findings related to controls that constrain the legal authority of certain public officials (e.g., mayor of a Lawrason Act municipality) should not be reported.]</w:t>
      </w:r>
    </w:p>
    <w:p w14:paraId="4BAB9C6E" w14:textId="77777777" w:rsidR="00C5660E" w:rsidRPr="00917C99"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917C99">
        <w:rPr>
          <w:rFonts w:ascii="Verdana" w:eastAsia="Calibri" w:hAnsi="Verdana" w:cs="Times New Roman"/>
        </w:rPr>
        <w:t xml:space="preserve">For each location selected under procedure #5A above, obtain the entity’s non-payroll disbursement transaction population (excluding cards and travel </w:t>
      </w:r>
      <w:r w:rsidRPr="00917C99">
        <w:rPr>
          <w:rFonts w:ascii="Verdana" w:eastAsia="Calibri" w:hAnsi="Verdana" w:cs="Times New Roman"/>
        </w:rPr>
        <w:lastRenderedPageBreak/>
        <w:t>reimbursements) and obtain management’s representation that the population is complete.  Randomly select 5 disbursements for each location, obtain supporting documentation for each transaction, and</w:t>
      </w:r>
    </w:p>
    <w:p w14:paraId="119D0A1F" w14:textId="77777777" w:rsidR="00C5660E" w:rsidRPr="00917C99" w:rsidRDefault="00C5660E" w:rsidP="00A222BF">
      <w:pPr>
        <w:numPr>
          <w:ilvl w:val="0"/>
          <w:numId w:val="64"/>
        </w:numPr>
        <w:tabs>
          <w:tab w:val="clear" w:pos="720"/>
          <w:tab w:val="num" w:pos="1440"/>
        </w:tabs>
        <w:spacing w:after="120" w:line="240" w:lineRule="auto"/>
        <w:ind w:left="1440" w:hanging="720"/>
        <w:jc w:val="both"/>
        <w:rPr>
          <w:rFonts w:ascii="Verdana" w:eastAsia="Calibri" w:hAnsi="Verdana" w:cs="Times New Roman"/>
        </w:rPr>
      </w:pPr>
      <w:r w:rsidRPr="00917C99">
        <w:rPr>
          <w:rFonts w:ascii="Verdana" w:eastAsia="Calibri" w:hAnsi="Verdana" w:cs="Times New Roman"/>
        </w:rPr>
        <w:t>Observe whether the disbursement, whether by paper or electronic means, matched the related original itemized invoice and supporting documentation indicates that deliverables included on the invoice were received by the entity, and</w:t>
      </w:r>
    </w:p>
    <w:p w14:paraId="5099F8CA" w14:textId="77777777" w:rsidR="00C5660E" w:rsidRPr="00917C99" w:rsidRDefault="00C5660E" w:rsidP="00A222BF">
      <w:pPr>
        <w:pStyle w:val="ListParagraph"/>
        <w:numPr>
          <w:ilvl w:val="0"/>
          <w:numId w:val="64"/>
        </w:numPr>
        <w:tabs>
          <w:tab w:val="clear" w:pos="720"/>
          <w:tab w:val="num" w:pos="1440"/>
        </w:tabs>
        <w:ind w:left="1440" w:hanging="720"/>
        <w:jc w:val="both"/>
        <w:rPr>
          <w:rFonts w:ascii="Verdana" w:eastAsia="Calibri" w:hAnsi="Verdana"/>
          <w:sz w:val="22"/>
          <w:szCs w:val="22"/>
        </w:rPr>
      </w:pPr>
      <w:r w:rsidRPr="00917C99">
        <w:rPr>
          <w:rFonts w:ascii="Verdana" w:eastAsia="Calibri" w:hAnsi="Verdana"/>
          <w:sz w:val="22"/>
          <w:szCs w:val="22"/>
        </w:rPr>
        <w:t>Observe whether the disbursement documentation included evidence (e.g., initial/date, electronic logging) of segregation of duties tested under procedure #5B above, as applicable.</w:t>
      </w:r>
    </w:p>
    <w:p w14:paraId="3DEA39B2" w14:textId="77777777" w:rsidR="00C5660E" w:rsidRPr="00917C99" w:rsidRDefault="00C5660E" w:rsidP="00C5660E">
      <w:pPr>
        <w:pStyle w:val="ListParagraph"/>
        <w:jc w:val="both"/>
        <w:rPr>
          <w:rFonts w:ascii="Verdana" w:eastAsia="Calibri" w:hAnsi="Verdana"/>
          <w:sz w:val="22"/>
          <w:szCs w:val="22"/>
        </w:rPr>
      </w:pPr>
    </w:p>
    <w:p w14:paraId="5DB4331C" w14:textId="589BDFBE" w:rsidR="00C5660E" w:rsidRPr="00917C99" w:rsidRDefault="00C5660E" w:rsidP="00A222BF">
      <w:pPr>
        <w:pStyle w:val="ListParagraph"/>
        <w:numPr>
          <w:ilvl w:val="0"/>
          <w:numId w:val="10"/>
        </w:numPr>
        <w:tabs>
          <w:tab w:val="clear" w:pos="360"/>
          <w:tab w:val="num" w:pos="720"/>
        </w:tabs>
        <w:spacing w:after="120"/>
        <w:ind w:left="720" w:hanging="720"/>
        <w:jc w:val="both"/>
        <w:rPr>
          <w:rFonts w:ascii="Verdana" w:eastAsia="Calibri" w:hAnsi="Verdana"/>
          <w:sz w:val="22"/>
          <w:szCs w:val="22"/>
        </w:rPr>
      </w:pPr>
      <w:r w:rsidRPr="00917C99">
        <w:rPr>
          <w:rFonts w:ascii="Verdana" w:eastAsia="Calibri" w:hAnsi="Verdana"/>
          <w:sz w:val="22"/>
          <w:szCs w:val="22"/>
        </w:rPr>
        <w:t>Using the entity’s main operating account and the month selected in Bank Reconciliations procedure #3A, randomly select 5 non-payroll-related electronic disbursements (or all electronic disbursements if less than 5) and observe that each electronic disbursement was (a) approved by only those persons authorized to disburse funds (e.g., sign checks) per the entity’s policy, and (b) approved by the required number of authorized signers per the entity’s policy.</w:t>
      </w:r>
      <w:r w:rsidR="003651EF" w:rsidRPr="00917C99">
        <w:rPr>
          <w:rFonts w:ascii="Verdana" w:eastAsia="Calibri" w:hAnsi="Verdana"/>
          <w:sz w:val="22"/>
          <w:szCs w:val="22"/>
        </w:rPr>
        <w:t xml:space="preserve"> </w:t>
      </w:r>
      <w:r w:rsidR="003651EF" w:rsidRPr="00917C99">
        <w:rPr>
          <w:rFonts w:ascii="Verdana" w:eastAsia="Calibri" w:hAnsi="Verdana"/>
          <w:i/>
          <w:sz w:val="22"/>
          <w:szCs w:val="22"/>
        </w:rPr>
        <w:t>Note: If no electronic payments were made from the main operating account during the month selected the practitioner should select an alternative month and/or account for testing</w:t>
      </w:r>
      <w:r w:rsidR="002B3646" w:rsidRPr="00917C99">
        <w:rPr>
          <w:rFonts w:ascii="Verdana" w:eastAsia="Calibri" w:hAnsi="Verdana"/>
          <w:i/>
          <w:sz w:val="22"/>
          <w:szCs w:val="22"/>
        </w:rPr>
        <w:t xml:space="preserve"> that does include electronic disbursements</w:t>
      </w:r>
      <w:r w:rsidR="003651EF" w:rsidRPr="00917C99">
        <w:rPr>
          <w:rFonts w:ascii="Verdana" w:eastAsia="Calibri" w:hAnsi="Verdana"/>
          <w:i/>
          <w:sz w:val="22"/>
          <w:szCs w:val="22"/>
        </w:rPr>
        <w:t>.</w:t>
      </w:r>
      <w:r w:rsidR="003651EF" w:rsidRPr="00917C99">
        <w:rPr>
          <w:rFonts w:ascii="Verdana" w:eastAsia="Calibri" w:hAnsi="Verdana"/>
          <w:sz w:val="22"/>
          <w:szCs w:val="22"/>
        </w:rPr>
        <w:t xml:space="preserve"> </w:t>
      </w:r>
    </w:p>
    <w:p w14:paraId="529D33D4" w14:textId="77777777" w:rsidR="00C5660E" w:rsidRPr="00D35FAA" w:rsidRDefault="00C5660E" w:rsidP="00885467">
      <w:pPr>
        <w:spacing w:before="120" w:after="0" w:line="240" w:lineRule="auto"/>
        <w:jc w:val="both"/>
        <w:rPr>
          <w:rFonts w:ascii="Verdana" w:hAnsi="Verdana" w:cs="Times New Roman"/>
        </w:rPr>
      </w:pPr>
    </w:p>
    <w:p w14:paraId="73DA39B5" w14:textId="77777777" w:rsidR="00C5660E" w:rsidRPr="00D35FAA" w:rsidRDefault="00C5660E" w:rsidP="00C5660E">
      <w:pPr>
        <w:pStyle w:val="ListParagraph"/>
        <w:numPr>
          <w:ilvl w:val="0"/>
          <w:numId w:val="50"/>
        </w:numPr>
        <w:pBdr>
          <w:bottom w:val="single" w:sz="4" w:space="1" w:color="auto"/>
        </w:pBdr>
        <w:rPr>
          <w:rFonts w:ascii="Verdana" w:hAnsi="Verdana"/>
          <w:b/>
          <w:i/>
          <w:sz w:val="22"/>
          <w:szCs w:val="22"/>
        </w:rPr>
      </w:pPr>
      <w:bookmarkStart w:id="48" w:name="CARDS"/>
      <w:r w:rsidRPr="00D35FAA">
        <w:rPr>
          <w:rFonts w:ascii="Verdana" w:hAnsi="Verdana"/>
          <w:b/>
          <w:i/>
          <w:sz w:val="22"/>
          <w:szCs w:val="22"/>
        </w:rPr>
        <w:t xml:space="preserve">Credit Cards/Debit Cards/Fuel Cards/Purchase Cards </w:t>
      </w:r>
      <w:bookmarkEnd w:id="48"/>
      <w:r w:rsidRPr="00D35FAA">
        <w:rPr>
          <w:rFonts w:ascii="Verdana" w:hAnsi="Verdana"/>
          <w:b/>
          <w:i/>
          <w:sz w:val="22"/>
          <w:szCs w:val="22"/>
        </w:rPr>
        <w:t>(Cards)</w:t>
      </w:r>
    </w:p>
    <w:p w14:paraId="15E4D1F6" w14:textId="77777777" w:rsidR="00C5660E" w:rsidRPr="00D35FAA" w:rsidRDefault="00C5660E" w:rsidP="00C5660E">
      <w:pPr>
        <w:spacing w:after="0" w:line="240" w:lineRule="auto"/>
        <w:rPr>
          <w:rFonts w:ascii="Verdana" w:eastAsia="Times New Roman" w:hAnsi="Verdana" w:cs="Times New Roman"/>
          <w:b/>
          <w:i/>
        </w:rPr>
      </w:pPr>
    </w:p>
    <w:p w14:paraId="065791ED" w14:textId="77777777" w:rsidR="00C5660E" w:rsidRPr="00A13194"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A13194">
        <w:rPr>
          <w:rFonts w:ascii="Verdana" w:eastAsia="Calibri" w:hAnsi="Verdana" w:cs="Times New Roman"/>
        </w:rPr>
        <w:t>Obtain from management a listing of all active credit cards, bank debit cards, fuel cards, and purchase cards (cards) for the fiscal period, including the card numbers and the names of the persons who maintained possession of the cards</w:t>
      </w:r>
      <w:r w:rsidRPr="00A13194">
        <w:rPr>
          <w:rStyle w:val="FootnoteReference"/>
          <w:rFonts w:ascii="Verdana" w:eastAsia="Calibri" w:hAnsi="Verdana" w:cs="Times New Roman"/>
        </w:rPr>
        <w:footnoteReference w:id="20"/>
      </w:r>
      <w:r w:rsidRPr="00A13194">
        <w:rPr>
          <w:rFonts w:ascii="Verdana" w:eastAsia="Calibri" w:hAnsi="Verdana" w:cs="Times New Roman"/>
        </w:rPr>
        <w:t>.  Obtain management’s representation that the listing is complete.</w:t>
      </w:r>
    </w:p>
    <w:p w14:paraId="6885F67B" w14:textId="0AAB07B1" w:rsidR="00C5660E" w:rsidRPr="00A13194" w:rsidRDefault="00C5660E" w:rsidP="00A222BF">
      <w:pPr>
        <w:numPr>
          <w:ilvl w:val="0"/>
          <w:numId w:val="54"/>
        </w:numPr>
        <w:shd w:val="clear" w:color="auto" w:fill="FFFFFF" w:themeFill="background1"/>
        <w:tabs>
          <w:tab w:val="clear" w:pos="360"/>
          <w:tab w:val="num" w:pos="720"/>
        </w:tabs>
        <w:spacing w:after="120" w:line="240" w:lineRule="auto"/>
        <w:ind w:left="720" w:hanging="720"/>
        <w:jc w:val="both"/>
        <w:rPr>
          <w:rFonts w:ascii="Verdana" w:eastAsia="Calibri" w:hAnsi="Verdana" w:cs="Times New Roman"/>
        </w:rPr>
      </w:pPr>
      <w:r w:rsidRPr="00A13194">
        <w:rPr>
          <w:rFonts w:ascii="Verdana" w:eastAsia="Calibri" w:hAnsi="Verdana" w:cs="Times New Roman"/>
        </w:rPr>
        <w:t>Using the listing prepared by management, randomly select 5 cards (or all cards if less than 5) that were used during the fiscal period.  Randomly select one monthly statement or combined statement for each card (for a debit card, randomly select one monthly bank statement). Obtain supporting documentation, and</w:t>
      </w:r>
    </w:p>
    <w:p w14:paraId="764DAE2A" w14:textId="0C8C0558" w:rsidR="00C5660E" w:rsidRPr="00A13194" w:rsidRDefault="00C5660E" w:rsidP="00A222BF">
      <w:pPr>
        <w:numPr>
          <w:ilvl w:val="0"/>
          <w:numId w:val="30"/>
        </w:numPr>
        <w:tabs>
          <w:tab w:val="clear" w:pos="936"/>
          <w:tab w:val="num" w:pos="1440"/>
        </w:tabs>
        <w:spacing w:after="120" w:line="240" w:lineRule="auto"/>
        <w:ind w:left="1440" w:hanging="720"/>
        <w:jc w:val="both"/>
        <w:rPr>
          <w:rFonts w:ascii="Verdana" w:eastAsia="Calibri" w:hAnsi="Verdana" w:cs="Times New Roman"/>
        </w:rPr>
      </w:pPr>
      <w:r w:rsidRPr="00A13194">
        <w:rPr>
          <w:rFonts w:ascii="Verdana" w:eastAsia="Calibri" w:hAnsi="Verdana" w:cs="Times New Roman"/>
        </w:rPr>
        <w:t xml:space="preserve">Observe whether there is evidence that the monthly statement or combined statement and supporting documentation (e.g., </w:t>
      </w:r>
      <w:r w:rsidR="00E73C02">
        <w:rPr>
          <w:rFonts w:ascii="Verdana" w:eastAsia="Calibri" w:hAnsi="Verdana" w:cs="Times New Roman"/>
        </w:rPr>
        <w:t>itemized</w:t>
      </w:r>
      <w:r w:rsidR="00E73C02" w:rsidRPr="00A13194">
        <w:rPr>
          <w:rFonts w:ascii="Verdana" w:eastAsia="Calibri" w:hAnsi="Verdana" w:cs="Times New Roman"/>
        </w:rPr>
        <w:t xml:space="preserve"> </w:t>
      </w:r>
      <w:r w:rsidRPr="00A13194">
        <w:rPr>
          <w:rFonts w:ascii="Verdana" w:eastAsia="Calibri" w:hAnsi="Verdana" w:cs="Times New Roman"/>
        </w:rPr>
        <w:t>receipts for credit/debit card purchases, exception reports for excessive fuel card usage) were reviewed and approved, in writing (or electronically approved) by someone other than the authorized card holder (</w:t>
      </w:r>
      <w:r w:rsidR="002B3646" w:rsidRPr="00A13194">
        <w:rPr>
          <w:rFonts w:ascii="Verdana" w:eastAsia="Calibri" w:hAnsi="Verdana" w:cs="Times New Roman"/>
        </w:rPr>
        <w:t>t</w:t>
      </w:r>
      <w:r w:rsidRPr="00A13194">
        <w:rPr>
          <w:rFonts w:ascii="Verdana" w:eastAsia="Calibri" w:hAnsi="Verdana" w:cs="Times New Roman"/>
        </w:rPr>
        <w:t xml:space="preserve">hose instances requiring such approval that may constrain the </w:t>
      </w:r>
      <w:r w:rsidRPr="00A13194">
        <w:rPr>
          <w:rFonts w:ascii="Verdana" w:eastAsia="Calibri" w:hAnsi="Verdana" w:cs="Times New Roman"/>
        </w:rPr>
        <w:lastRenderedPageBreak/>
        <w:t>legal authority of certain public officials, such as the mayor of a Lawrason Act municipality, should not be reported); and</w:t>
      </w:r>
    </w:p>
    <w:p w14:paraId="1D1F672A" w14:textId="77777777" w:rsidR="00C5660E" w:rsidRPr="00A13194" w:rsidRDefault="00C5660E" w:rsidP="00A222BF">
      <w:pPr>
        <w:numPr>
          <w:ilvl w:val="0"/>
          <w:numId w:val="30"/>
        </w:numPr>
        <w:tabs>
          <w:tab w:val="clear" w:pos="936"/>
          <w:tab w:val="num" w:pos="1440"/>
        </w:tabs>
        <w:spacing w:after="0" w:line="240" w:lineRule="auto"/>
        <w:ind w:left="1440" w:hanging="720"/>
        <w:jc w:val="both"/>
        <w:rPr>
          <w:rFonts w:ascii="Verdana" w:eastAsia="Calibri" w:hAnsi="Verdana" w:cs="Times New Roman"/>
        </w:rPr>
      </w:pPr>
      <w:r w:rsidRPr="00A13194">
        <w:rPr>
          <w:rFonts w:ascii="Verdana" w:eastAsia="Calibri" w:hAnsi="Verdana" w:cs="Times New Roman"/>
        </w:rPr>
        <w:t>Observe that finance charges and late fees were not assessed on the selected statements.</w:t>
      </w:r>
    </w:p>
    <w:p w14:paraId="58C56AEE" w14:textId="77777777" w:rsidR="00C5660E" w:rsidRPr="00A13194" w:rsidRDefault="00C5660E" w:rsidP="00C5660E">
      <w:pPr>
        <w:pStyle w:val="ListParagraph"/>
        <w:rPr>
          <w:rFonts w:ascii="Verdana" w:eastAsia="Calibri" w:hAnsi="Verdana"/>
          <w:sz w:val="22"/>
          <w:szCs w:val="22"/>
        </w:rPr>
      </w:pPr>
    </w:p>
    <w:p w14:paraId="28DD7E98" w14:textId="1471F0C6" w:rsidR="004F7B3E" w:rsidRDefault="00C5660E" w:rsidP="004F7B3E">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A13194">
        <w:rPr>
          <w:rFonts w:ascii="Verdana" w:eastAsia="Calibri" w:hAnsi="Verdana" w:cs="Times New Roman"/>
        </w:rPr>
        <w:t>Using the monthly statements or combined statements selected under procedure #</w:t>
      </w:r>
      <w:r w:rsidR="00210017">
        <w:rPr>
          <w:rFonts w:ascii="Verdana" w:eastAsia="Calibri" w:hAnsi="Verdana" w:cs="Times New Roman"/>
        </w:rPr>
        <w:t>6</w:t>
      </w:r>
      <w:r w:rsidR="00210017" w:rsidRPr="00A13194">
        <w:rPr>
          <w:rFonts w:ascii="Verdana" w:eastAsia="Calibri" w:hAnsi="Verdana" w:cs="Times New Roman"/>
        </w:rPr>
        <w:t xml:space="preserve">B </w:t>
      </w:r>
      <w:r w:rsidRPr="00A13194">
        <w:rPr>
          <w:rFonts w:ascii="Verdana" w:eastAsia="Calibri" w:hAnsi="Verdana" w:cs="Times New Roman"/>
        </w:rPr>
        <w:t xml:space="preserve">above, </w:t>
      </w:r>
      <w:r w:rsidRPr="00A13194">
        <w:rPr>
          <w:rFonts w:ascii="Verdana" w:eastAsia="Calibri" w:hAnsi="Verdana" w:cs="Times New Roman"/>
          <w:u w:val="single"/>
        </w:rPr>
        <w:t>excluding fuel cards</w:t>
      </w:r>
      <w:r w:rsidRPr="00A13194">
        <w:rPr>
          <w:rFonts w:ascii="Verdana" w:eastAsia="Calibri" w:hAnsi="Verdana" w:cs="Times New Roman"/>
        </w:rPr>
        <w:t>, randomly select 10 transactions (or all transactions if less than 10) from each statement, and obtain supporting documentation for the transactions (e.g., each card should have 10 transactions subject to inspection)</w:t>
      </w:r>
      <w:r w:rsidRPr="00A13194">
        <w:rPr>
          <w:rStyle w:val="FootnoteReference"/>
          <w:rFonts w:ascii="Verdana" w:eastAsia="Calibri" w:hAnsi="Verdana" w:cs="Times New Roman"/>
        </w:rPr>
        <w:footnoteReference w:id="21"/>
      </w:r>
      <w:r w:rsidRPr="00A13194">
        <w:rPr>
          <w:rFonts w:ascii="Verdana" w:eastAsia="Calibri" w:hAnsi="Verdana" w:cs="Times New Roman"/>
        </w:rPr>
        <w:t>.  For each transaction, observe that it is supported by (1) an original itemized receipt that identifies precisely what was purchased, (2) written documentation of the business/public purpose, and (3) documentation of the individuals participating in meals (for meal charges only).  For missing receipts, the practitioner should describe the nature of the transaction and observe whether management had a compensating control to address missing receipts, such as a “missing receipt statement” that is subject to increased scrutiny.</w:t>
      </w:r>
    </w:p>
    <w:p w14:paraId="722E8F8E" w14:textId="059F3CC7" w:rsidR="004F7B3E" w:rsidRPr="004F7B3E" w:rsidRDefault="00BF237C" w:rsidP="004F7B3E">
      <w:pPr>
        <w:numPr>
          <w:ilvl w:val="0"/>
          <w:numId w:val="54"/>
        </w:numPr>
        <w:tabs>
          <w:tab w:val="clear" w:pos="360"/>
          <w:tab w:val="num" w:pos="720"/>
        </w:tabs>
        <w:spacing w:after="120" w:line="240" w:lineRule="auto"/>
        <w:ind w:left="720" w:hanging="720"/>
        <w:jc w:val="both"/>
        <w:rPr>
          <w:rFonts w:ascii="Verdana" w:eastAsia="Calibri" w:hAnsi="Verdana" w:cs="Times New Roman"/>
        </w:rPr>
      </w:pPr>
      <w:r>
        <w:rPr>
          <w:rFonts w:ascii="Verdana" w:eastAsia="Calibri" w:hAnsi="Verdana" w:cs="Times New Roman"/>
        </w:rPr>
        <w:t>U</w:t>
      </w:r>
      <w:r w:rsidR="004F7B3E" w:rsidRPr="004F7B3E">
        <w:rPr>
          <w:rFonts w:ascii="Verdana" w:eastAsia="Calibri" w:hAnsi="Verdana" w:cs="Times New Roman"/>
        </w:rPr>
        <w:t>sing the list of terminated employees obtained in Payroll and Personnel procedure #9C</w:t>
      </w:r>
      <w:r>
        <w:rPr>
          <w:rFonts w:ascii="Verdana" w:eastAsia="Calibri" w:hAnsi="Verdana" w:cs="Times New Roman"/>
        </w:rPr>
        <w:t xml:space="preserve"> identify those individuals who had access to cards and randomly select 5 terminated employees (or all terminated employees with card access if less than 5) from this population</w:t>
      </w:r>
      <w:r w:rsidR="004F7B3E" w:rsidRPr="004F7B3E">
        <w:rPr>
          <w:rFonts w:ascii="Verdana" w:eastAsia="Calibri" w:hAnsi="Verdana" w:cs="Times New Roman"/>
        </w:rPr>
        <w:t>. Observe evidence that</w:t>
      </w:r>
      <w:r>
        <w:rPr>
          <w:rFonts w:ascii="Verdana" w:eastAsia="Calibri" w:hAnsi="Verdana" w:cs="Times New Roman"/>
        </w:rPr>
        <w:t xml:space="preserve"> the</w:t>
      </w:r>
      <w:r w:rsidR="004F7B3E" w:rsidRPr="004F7B3E">
        <w:rPr>
          <w:rFonts w:ascii="Verdana" w:eastAsia="Calibri" w:hAnsi="Verdana" w:cs="Times New Roman"/>
        </w:rPr>
        <w:t xml:space="preserve"> cards have been deactivated for these terminated employees. In cases where a card is shared by multiple users, obtain evidence that the terminated employees’ authorization has been removed</w:t>
      </w:r>
      <w:r w:rsidR="004F7B3E" w:rsidRPr="00CB7235">
        <w:rPr>
          <w:rFonts w:ascii="Verdana" w:eastAsia="Calibri" w:hAnsi="Verdana" w:cs="Times New Roman"/>
        </w:rPr>
        <w:t xml:space="preserve">. </w:t>
      </w:r>
    </w:p>
    <w:p w14:paraId="5D6C8C64" w14:textId="2852C0C8" w:rsidR="008A45FE" w:rsidRDefault="008A45FE" w:rsidP="008A45FE">
      <w:pPr>
        <w:spacing w:after="120" w:line="240" w:lineRule="auto"/>
        <w:jc w:val="both"/>
        <w:rPr>
          <w:rFonts w:ascii="Verdana" w:eastAsia="Calibri" w:hAnsi="Verdana" w:cs="Times New Roman"/>
        </w:rPr>
      </w:pPr>
    </w:p>
    <w:p w14:paraId="7C41D43B" w14:textId="77777777" w:rsidR="003878EF" w:rsidRPr="009D6443" w:rsidRDefault="003878EF" w:rsidP="003878EF">
      <w:pPr>
        <w:pStyle w:val="ListParagraph"/>
        <w:numPr>
          <w:ilvl w:val="0"/>
          <w:numId w:val="50"/>
        </w:numPr>
        <w:pBdr>
          <w:bottom w:val="single" w:sz="4" w:space="1" w:color="auto"/>
        </w:pBdr>
        <w:rPr>
          <w:rFonts w:ascii="Verdana" w:hAnsi="Verdana"/>
          <w:b/>
          <w:color w:val="000000"/>
          <w:sz w:val="22"/>
          <w:szCs w:val="22"/>
        </w:rPr>
      </w:pPr>
      <w:bookmarkStart w:id="49" w:name="Travel"/>
      <w:bookmarkEnd w:id="49"/>
      <w:r w:rsidRPr="009D6443">
        <w:rPr>
          <w:rFonts w:ascii="Verdana" w:hAnsi="Verdana"/>
          <w:b/>
          <w:i/>
          <w:color w:val="000000"/>
          <w:sz w:val="22"/>
          <w:szCs w:val="22"/>
        </w:rPr>
        <w:t>Travel and Travel-Related Expense Reimbursements</w:t>
      </w:r>
      <w:r w:rsidRPr="009D6443">
        <w:rPr>
          <w:rStyle w:val="FootnoteReference"/>
          <w:rFonts w:ascii="Verdana" w:hAnsi="Verdana"/>
          <w:b/>
          <w:i/>
          <w:color w:val="000000"/>
          <w:sz w:val="22"/>
          <w:szCs w:val="22"/>
        </w:rPr>
        <w:footnoteReference w:id="22"/>
      </w:r>
      <w:r w:rsidRPr="009D6443">
        <w:rPr>
          <w:rFonts w:ascii="Verdana" w:hAnsi="Verdana"/>
          <w:b/>
          <w:i/>
          <w:color w:val="000000"/>
          <w:sz w:val="22"/>
          <w:szCs w:val="22"/>
        </w:rPr>
        <w:t xml:space="preserve"> (excluding card transactions)</w:t>
      </w:r>
    </w:p>
    <w:p w14:paraId="0477C3BD" w14:textId="77777777" w:rsidR="003878EF" w:rsidRPr="009D6443" w:rsidRDefault="003878EF" w:rsidP="003878EF">
      <w:pPr>
        <w:spacing w:after="0" w:line="240" w:lineRule="auto"/>
        <w:ind w:left="360"/>
        <w:rPr>
          <w:rFonts w:ascii="Verdana" w:eastAsia="Times New Roman" w:hAnsi="Verdana" w:cs="Times New Roman"/>
        </w:rPr>
      </w:pPr>
    </w:p>
    <w:p w14:paraId="019CD725" w14:textId="77777777" w:rsidR="003878EF" w:rsidRPr="009D6443" w:rsidRDefault="003878EF" w:rsidP="003878EF">
      <w:pPr>
        <w:numPr>
          <w:ilvl w:val="0"/>
          <w:numId w:val="55"/>
        </w:numPr>
        <w:tabs>
          <w:tab w:val="clear" w:pos="360"/>
          <w:tab w:val="num" w:pos="720"/>
        </w:tabs>
        <w:spacing w:after="120" w:line="240" w:lineRule="auto"/>
        <w:ind w:left="720" w:hanging="720"/>
        <w:jc w:val="both"/>
        <w:rPr>
          <w:rFonts w:ascii="Verdana" w:eastAsia="Calibri" w:hAnsi="Verdana" w:cs="Times New Roman"/>
        </w:rPr>
      </w:pPr>
      <w:r w:rsidRPr="009D6443">
        <w:rPr>
          <w:rFonts w:ascii="Verdana" w:eastAsia="Calibri" w:hAnsi="Verdana" w:cs="Times New Roman"/>
        </w:rPr>
        <w:t>Obtain from management a listing of all travel and travel-related expense reimbursements during the fiscal period and management’s representation that the listing or general ledger is complete.  Randomly select 5 reimbursements and obtain the related expense reimbursement forms/prepaid expense documentation of each selected reimbursement, as well as the supporting documentation.  For each of the 5 reimbursements selected</w:t>
      </w:r>
    </w:p>
    <w:p w14:paraId="78F663BB" w14:textId="77777777" w:rsidR="003878EF" w:rsidRPr="009D6443" w:rsidRDefault="003878EF" w:rsidP="003878EF">
      <w:pPr>
        <w:spacing w:after="0" w:line="240" w:lineRule="auto"/>
        <w:ind w:left="720"/>
        <w:jc w:val="both"/>
        <w:rPr>
          <w:rFonts w:ascii="Verdana" w:hAnsi="Verdana" w:cs="Times New Roman"/>
        </w:rPr>
      </w:pPr>
    </w:p>
    <w:p w14:paraId="1F5CED1B" w14:textId="694CA8EC" w:rsidR="003878EF" w:rsidRPr="009D6443"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9D6443">
        <w:rPr>
          <w:rFonts w:ascii="Verdana" w:hAnsi="Verdana" w:cs="Times New Roman"/>
        </w:rPr>
        <w:lastRenderedPageBreak/>
        <w:t xml:space="preserve">If reimbursed using a per diem, observe that the approved reimbursement rate is no more than those rates established either by the State of Louisiana </w:t>
      </w:r>
      <w:r w:rsidR="00E73C02">
        <w:rPr>
          <w:rFonts w:ascii="Verdana" w:hAnsi="Verdana" w:cs="Times New Roman"/>
        </w:rPr>
        <w:t xml:space="preserve">(doa.la.gov/doa/ost/ppm-49-travel-guide/) </w:t>
      </w:r>
      <w:r w:rsidRPr="009D6443">
        <w:rPr>
          <w:rFonts w:ascii="Verdana" w:hAnsi="Verdana" w:cs="Times New Roman"/>
        </w:rPr>
        <w:t>or the U.S. General Services Administration (www.gsa.gov);</w:t>
      </w:r>
    </w:p>
    <w:p w14:paraId="4B00E0AD" w14:textId="77777777" w:rsidR="003878EF" w:rsidRPr="009D6443"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9D6443">
        <w:rPr>
          <w:rFonts w:ascii="Verdana" w:eastAsia="Times New Roman" w:hAnsi="Verdana" w:cs="Times New Roman"/>
        </w:rPr>
        <w:t xml:space="preserve">If reimbursed using actual costs, observe that the reimbursement is supported by an </w:t>
      </w:r>
      <w:r w:rsidRPr="009D6443">
        <w:rPr>
          <w:rFonts w:ascii="Verdana" w:eastAsia="Calibri" w:hAnsi="Verdana" w:cs="Times New Roman"/>
        </w:rPr>
        <w:t>original itemized receipt that identifies precisely what was purchased;</w:t>
      </w:r>
    </w:p>
    <w:p w14:paraId="7BB82BB4" w14:textId="7993B23C" w:rsidR="003878EF" w:rsidRPr="009D6443" w:rsidRDefault="003878EF" w:rsidP="003878EF">
      <w:pPr>
        <w:numPr>
          <w:ilvl w:val="0"/>
          <w:numId w:val="65"/>
        </w:numPr>
        <w:tabs>
          <w:tab w:val="clear" w:pos="936"/>
          <w:tab w:val="num" w:pos="1440"/>
        </w:tabs>
        <w:spacing w:after="120" w:line="240" w:lineRule="auto"/>
        <w:ind w:left="1350" w:hanging="630"/>
        <w:jc w:val="both"/>
        <w:rPr>
          <w:rFonts w:ascii="Verdana" w:eastAsia="Calibri" w:hAnsi="Verdana" w:cs="Times New Roman"/>
        </w:rPr>
      </w:pPr>
      <w:r w:rsidRPr="009D6443">
        <w:rPr>
          <w:rFonts w:ascii="Verdana" w:hAnsi="Verdana" w:cs="Times New Roman"/>
        </w:rPr>
        <w:t>Observe that each reimbursement is supported by d</w:t>
      </w:r>
      <w:r w:rsidRPr="009D6443">
        <w:rPr>
          <w:rFonts w:ascii="Verdana" w:eastAsia="Calibri" w:hAnsi="Verdana" w:cs="Times New Roman"/>
        </w:rPr>
        <w:t>ocumentation of the business/public purpose (for meal charges, observe that the documentation includes the names of those individuals participating) and other documentation required by Written Policies and Procedures procedure #1A(vii);</w:t>
      </w:r>
      <w:r w:rsidR="002B3646" w:rsidRPr="009D6443">
        <w:rPr>
          <w:rFonts w:ascii="Verdana" w:eastAsia="Calibri" w:hAnsi="Verdana" w:cs="Times New Roman"/>
        </w:rPr>
        <w:t xml:space="preserve"> and</w:t>
      </w:r>
    </w:p>
    <w:p w14:paraId="637196F1" w14:textId="5D941170" w:rsidR="003878EF" w:rsidRPr="009D6443" w:rsidRDefault="003878EF" w:rsidP="003878EF">
      <w:pPr>
        <w:numPr>
          <w:ilvl w:val="0"/>
          <w:numId w:val="65"/>
        </w:numPr>
        <w:tabs>
          <w:tab w:val="clear" w:pos="936"/>
          <w:tab w:val="num" w:pos="1440"/>
        </w:tabs>
        <w:spacing w:before="120" w:after="0" w:line="240" w:lineRule="auto"/>
        <w:ind w:left="1350" w:hanging="630"/>
        <w:jc w:val="both"/>
        <w:rPr>
          <w:rFonts w:ascii="Verdana" w:hAnsi="Verdana" w:cs="Times New Roman"/>
        </w:rPr>
      </w:pPr>
      <w:r w:rsidRPr="009D6443">
        <w:rPr>
          <w:rFonts w:ascii="Verdana" w:hAnsi="Verdana" w:cs="Times New Roman"/>
        </w:rPr>
        <w:t>Observe that each reimbursement was reviewed and approved, in writing, by someone other than the person receiving reimbursement</w:t>
      </w:r>
      <w:r w:rsidR="002B3646" w:rsidRPr="009D6443">
        <w:rPr>
          <w:rFonts w:ascii="Verdana" w:hAnsi="Verdana" w:cs="Times New Roman"/>
        </w:rPr>
        <w:t>.</w:t>
      </w:r>
    </w:p>
    <w:p w14:paraId="3D3A2FA0" w14:textId="77777777" w:rsidR="003878EF" w:rsidRPr="007E36C2" w:rsidRDefault="003878EF" w:rsidP="00D103DE">
      <w:pPr>
        <w:spacing w:after="120" w:line="240" w:lineRule="auto"/>
        <w:jc w:val="both"/>
        <w:rPr>
          <w:rFonts w:ascii="Verdana" w:eastAsia="Calibri" w:hAnsi="Verdana" w:cs="Times New Roman"/>
          <w:highlight w:val="yellow"/>
        </w:rPr>
      </w:pPr>
    </w:p>
    <w:p w14:paraId="2697BB17" w14:textId="77777777" w:rsidR="00C5660E" w:rsidRPr="009D6443"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50" w:name="CONTRACTS"/>
      <w:r w:rsidRPr="009D6443">
        <w:rPr>
          <w:rFonts w:ascii="Verdana" w:hAnsi="Verdana"/>
          <w:b/>
          <w:i/>
          <w:color w:val="000000"/>
          <w:sz w:val="22"/>
          <w:szCs w:val="22"/>
        </w:rPr>
        <w:t>Contracts</w:t>
      </w:r>
    </w:p>
    <w:bookmarkEnd w:id="50"/>
    <w:p w14:paraId="25F116A2" w14:textId="77777777" w:rsidR="00C5660E" w:rsidRPr="009D6443" w:rsidRDefault="00C5660E" w:rsidP="00C5660E">
      <w:pPr>
        <w:spacing w:after="0" w:line="240" w:lineRule="auto"/>
        <w:rPr>
          <w:rFonts w:ascii="Verdana" w:eastAsia="Times New Roman" w:hAnsi="Verdana" w:cs="Times New Roman"/>
        </w:rPr>
      </w:pPr>
    </w:p>
    <w:p w14:paraId="2CFDFDF3" w14:textId="77777777" w:rsidR="00C5660E" w:rsidRPr="009D6443" w:rsidRDefault="00C5660E" w:rsidP="00A222BF">
      <w:pPr>
        <w:numPr>
          <w:ilvl w:val="0"/>
          <w:numId w:val="56"/>
        </w:numPr>
        <w:tabs>
          <w:tab w:val="clear" w:pos="360"/>
          <w:tab w:val="num" w:pos="720"/>
        </w:tabs>
        <w:spacing w:after="120" w:line="240" w:lineRule="auto"/>
        <w:ind w:left="720" w:hanging="720"/>
        <w:jc w:val="both"/>
        <w:rPr>
          <w:rFonts w:ascii="Verdana" w:eastAsia="Calibri" w:hAnsi="Verdana" w:cs="Times New Roman"/>
        </w:rPr>
      </w:pPr>
      <w:r w:rsidRPr="009D6443">
        <w:rPr>
          <w:rFonts w:ascii="Verdana" w:eastAsia="Calibri" w:hAnsi="Verdana" w:cs="Times New Roman"/>
        </w:rPr>
        <w:t xml:space="preserve">Obtain from management a listing of all agreements/contracts for professional services, materials and supplies, leases, and construction activities that were initiated or renewed during the fiscal period.  </w:t>
      </w:r>
      <w:r w:rsidRPr="009D6443">
        <w:rPr>
          <w:rFonts w:ascii="Verdana" w:eastAsia="Calibri" w:hAnsi="Verdana" w:cs="Times New Roman"/>
          <w:i/>
        </w:rPr>
        <w:t>Alternatively, the practitioner may use an equivalent selection source, such as an active vendor list.</w:t>
      </w:r>
      <w:r w:rsidRPr="009D6443">
        <w:rPr>
          <w:rFonts w:ascii="Verdana" w:eastAsia="Calibri" w:hAnsi="Verdana" w:cs="Times New Roman"/>
        </w:rPr>
        <w:t xml:space="preserve">  Obtain management’s representation that the listing is complete.  Randomly select 5 contracts (or all contracts if less than 5) from the listing, </w:t>
      </w:r>
      <w:r w:rsidRPr="009D6443">
        <w:rPr>
          <w:rFonts w:ascii="Verdana" w:eastAsia="Calibri" w:hAnsi="Verdana" w:cs="Times New Roman"/>
          <w:u w:val="single"/>
        </w:rPr>
        <w:t>excluding the practitioner’s contract</w:t>
      </w:r>
      <w:r w:rsidRPr="009D6443">
        <w:rPr>
          <w:rFonts w:ascii="Verdana" w:eastAsia="Calibri" w:hAnsi="Verdana" w:cs="Times New Roman"/>
        </w:rPr>
        <w:t>, and</w:t>
      </w:r>
    </w:p>
    <w:p w14:paraId="2704167D" w14:textId="2843F1C3" w:rsidR="00C5660E" w:rsidRPr="009D6443" w:rsidRDefault="00C5660E" w:rsidP="00A222BF">
      <w:pPr>
        <w:numPr>
          <w:ilvl w:val="0"/>
          <w:numId w:val="66"/>
        </w:numPr>
        <w:tabs>
          <w:tab w:val="clear" w:pos="936"/>
          <w:tab w:val="num" w:pos="1440"/>
        </w:tabs>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Observe whether the contract was bid in accordance with the Louisiana Public Bid Law</w:t>
      </w:r>
      <w:r w:rsidRPr="009D6443">
        <w:rPr>
          <w:rStyle w:val="FootnoteReference"/>
          <w:rFonts w:ascii="Verdana" w:eastAsia="Times New Roman" w:hAnsi="Verdana" w:cs="Times New Roman"/>
        </w:rPr>
        <w:footnoteReference w:id="23"/>
      </w:r>
      <w:r w:rsidRPr="009D6443">
        <w:rPr>
          <w:rFonts w:ascii="Verdana" w:eastAsia="Times New Roman" w:hAnsi="Verdana" w:cs="Times New Roman"/>
        </w:rPr>
        <w:t xml:space="preserve"> (e.g., solicited quotes or bids, advertised), if required by law;</w:t>
      </w:r>
    </w:p>
    <w:p w14:paraId="62DF90A0" w14:textId="77777777" w:rsidR="00C5660E" w:rsidRPr="009D6443"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Observe whether the contract was approved by the governing body/board, if required by policy or law (e.g., Lawrason Act, Home Rule Charter);</w:t>
      </w:r>
    </w:p>
    <w:p w14:paraId="35BC3473" w14:textId="77777777" w:rsidR="00C5660E" w:rsidRPr="009D6443"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If the contract was amended (e.g., change order), observe that the original contract terms provided for such an amendment and that amendments were made in compliance with the contract terms (e.g., if approval is required for any amendment, the documented approval); and</w:t>
      </w:r>
    </w:p>
    <w:p w14:paraId="1034EFF4" w14:textId="77777777" w:rsidR="00C5660E" w:rsidRPr="009D6443" w:rsidRDefault="00C5660E" w:rsidP="00A222BF">
      <w:pPr>
        <w:numPr>
          <w:ilvl w:val="0"/>
          <w:numId w:val="66"/>
        </w:numPr>
        <w:tabs>
          <w:tab w:val="clear" w:pos="936"/>
          <w:tab w:val="left" w:pos="360"/>
          <w:tab w:val="num" w:pos="1440"/>
        </w:tabs>
        <w:spacing w:before="120" w:after="0" w:line="240" w:lineRule="auto"/>
        <w:ind w:left="1440" w:hanging="720"/>
        <w:jc w:val="both"/>
        <w:rPr>
          <w:rFonts w:ascii="Verdana" w:eastAsia="Times New Roman" w:hAnsi="Verdana" w:cs="Times New Roman"/>
        </w:rPr>
      </w:pPr>
      <w:r w:rsidRPr="009D6443">
        <w:rPr>
          <w:rFonts w:ascii="Verdana" w:eastAsia="Times New Roman" w:hAnsi="Verdana" w:cs="Times New Roman"/>
        </w:rPr>
        <w:t xml:space="preserve">Randomly select one payment from the fiscal period for each of the 5 contracts, obtain the supporting invoice, agree the invoice to the </w:t>
      </w:r>
      <w:r w:rsidRPr="009D6443">
        <w:rPr>
          <w:rFonts w:ascii="Verdana" w:eastAsia="Times New Roman" w:hAnsi="Verdana" w:cs="Times New Roman"/>
        </w:rPr>
        <w:lastRenderedPageBreak/>
        <w:t>contract terms, and observe that the invoice and related payment agreed to the terms and conditions of the contract.</w:t>
      </w:r>
    </w:p>
    <w:p w14:paraId="59E624C1" w14:textId="77777777" w:rsidR="00C5660E" w:rsidRPr="007E36C2" w:rsidRDefault="00C5660E" w:rsidP="00C5660E">
      <w:pPr>
        <w:tabs>
          <w:tab w:val="left" w:pos="360"/>
        </w:tabs>
        <w:spacing w:after="0" w:line="240" w:lineRule="auto"/>
        <w:rPr>
          <w:rFonts w:ascii="Verdana" w:eastAsia="Times New Roman" w:hAnsi="Verdana" w:cs="Times New Roman"/>
          <w:highlight w:val="yellow"/>
        </w:rPr>
      </w:pPr>
    </w:p>
    <w:p w14:paraId="6D1CD408" w14:textId="77777777" w:rsidR="00C5660E" w:rsidRPr="002467C2"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51" w:name="PAYROLL_PERSONNEL"/>
      <w:r w:rsidRPr="002467C2">
        <w:rPr>
          <w:rFonts w:ascii="Verdana" w:hAnsi="Verdana"/>
          <w:b/>
          <w:i/>
          <w:color w:val="000000"/>
          <w:sz w:val="22"/>
          <w:szCs w:val="22"/>
        </w:rPr>
        <w:t>Payroll and Personnel</w:t>
      </w:r>
    </w:p>
    <w:bookmarkEnd w:id="51"/>
    <w:p w14:paraId="05FF2188" w14:textId="77777777" w:rsidR="00C5660E" w:rsidRPr="00F02CF2" w:rsidRDefault="00C5660E" w:rsidP="00C5660E">
      <w:pPr>
        <w:spacing w:after="0" w:line="240" w:lineRule="auto"/>
        <w:jc w:val="both"/>
        <w:rPr>
          <w:rFonts w:ascii="Verdana" w:eastAsia="Times New Roman" w:hAnsi="Verdana" w:cs="Times New Roman"/>
        </w:rPr>
      </w:pPr>
    </w:p>
    <w:p w14:paraId="27B6242B" w14:textId="5E52C60C" w:rsidR="00C5660E" w:rsidRPr="00F02CF2"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Obtain a listing of employees and officials</w:t>
      </w:r>
      <w:r w:rsidRPr="002467C2">
        <w:rPr>
          <w:rStyle w:val="FootnoteReference"/>
          <w:rFonts w:ascii="Verdana" w:eastAsia="Calibri" w:hAnsi="Verdana" w:cs="Times New Roman"/>
        </w:rPr>
        <w:footnoteReference w:id="24"/>
      </w:r>
      <w:r w:rsidRPr="002467C2">
        <w:rPr>
          <w:rFonts w:ascii="Verdana" w:eastAsia="Calibri" w:hAnsi="Verdana" w:cs="Times New Roman"/>
        </w:rPr>
        <w:t xml:space="preserve"> employed during the fiscal period and management’s representation that the listing is complete.  Randomly select 5 employees or officials, obtain related paid salaries and personnel files, and agree paid salaries to authorized salaries/pay rates in the pe</w:t>
      </w:r>
      <w:r w:rsidRPr="00F02CF2">
        <w:rPr>
          <w:rFonts w:ascii="Verdana" w:eastAsia="Calibri" w:hAnsi="Verdana" w:cs="Times New Roman"/>
        </w:rPr>
        <w:t xml:space="preserve">rsonnel files. </w:t>
      </w:r>
    </w:p>
    <w:p w14:paraId="11963D39" w14:textId="77777777" w:rsidR="00C5660E" w:rsidRPr="00AF501D"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AF501D">
        <w:rPr>
          <w:rFonts w:ascii="Verdana" w:eastAsia="Calibri" w:hAnsi="Verdana" w:cs="Times New Roman"/>
        </w:rPr>
        <w:t>Randomly select one pay period during the fiscal period.  For the 5 employees or officials selected under procedure #9A above, obtain attendance records and leave documentation for the pay period, and</w:t>
      </w:r>
    </w:p>
    <w:p w14:paraId="4BB75EA4" w14:textId="77777777" w:rsidR="00C5660E" w:rsidRPr="00F02CF2" w:rsidRDefault="00C5660E" w:rsidP="00A222BF">
      <w:pPr>
        <w:numPr>
          <w:ilvl w:val="0"/>
          <w:numId w:val="67"/>
        </w:numPr>
        <w:tabs>
          <w:tab w:val="clear" w:pos="936"/>
          <w:tab w:val="left" w:pos="360"/>
          <w:tab w:val="num" w:pos="1440"/>
        </w:tabs>
        <w:spacing w:after="120" w:line="240" w:lineRule="auto"/>
        <w:ind w:left="1440" w:hanging="720"/>
        <w:jc w:val="both"/>
        <w:rPr>
          <w:rFonts w:ascii="Verdana" w:eastAsia="Times New Roman" w:hAnsi="Verdana" w:cs="Times New Roman"/>
        </w:rPr>
      </w:pPr>
      <w:r w:rsidRPr="00AF501D">
        <w:rPr>
          <w:rFonts w:ascii="Verdana" w:eastAsia="Times New Roman" w:hAnsi="Verdana" w:cs="Times New Roman"/>
        </w:rPr>
        <w:t xml:space="preserve">Observe that all selected employees or </w:t>
      </w:r>
      <w:r w:rsidRPr="00917C99">
        <w:rPr>
          <w:rFonts w:ascii="Verdana" w:eastAsia="Times New Roman" w:hAnsi="Verdana" w:cs="Times New Roman"/>
        </w:rPr>
        <w:t>officials</w:t>
      </w:r>
      <w:r w:rsidRPr="002467C2">
        <w:rPr>
          <w:rStyle w:val="FootnoteReference"/>
          <w:rFonts w:ascii="Verdana" w:eastAsia="Times New Roman" w:hAnsi="Verdana" w:cs="Times New Roman"/>
        </w:rPr>
        <w:footnoteReference w:id="25"/>
      </w:r>
      <w:r w:rsidRPr="002467C2">
        <w:rPr>
          <w:rFonts w:ascii="Verdana" w:eastAsia="Times New Roman" w:hAnsi="Verdana" w:cs="Times New Roman"/>
          <w:vertAlign w:val="superscript"/>
        </w:rPr>
        <w:t xml:space="preserve"> </w:t>
      </w:r>
      <w:r w:rsidRPr="002467C2">
        <w:rPr>
          <w:rFonts w:ascii="Verdana" w:eastAsia="Times New Roman" w:hAnsi="Verdana" w:cs="Times New Roman"/>
        </w:rPr>
        <w:t>documented their daily attendance and leave (e.g., vacation, sick, compensatory);</w:t>
      </w:r>
    </w:p>
    <w:p w14:paraId="54B6967D" w14:textId="77777777" w:rsidR="00C5660E" w:rsidRPr="00AF501D"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AF501D">
        <w:rPr>
          <w:rFonts w:ascii="Verdana" w:eastAsia="Times New Roman" w:hAnsi="Verdana" w:cs="Times New Roman"/>
        </w:rPr>
        <w:t>Observe whether supervisors approved the attendance and leave of the selected employees or officials;</w:t>
      </w:r>
    </w:p>
    <w:p w14:paraId="7BB81C3D" w14:textId="77777777" w:rsidR="00C5660E" w:rsidRPr="00917C99"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AF501D">
        <w:rPr>
          <w:rFonts w:ascii="Verdana" w:eastAsia="Times New Roman" w:hAnsi="Verdana" w:cs="Times New Roman"/>
        </w:rPr>
        <w:t>Observe that any leave accrued or taken during the pay period</w:t>
      </w:r>
      <w:r w:rsidRPr="00917C99">
        <w:rPr>
          <w:rFonts w:ascii="Verdana" w:eastAsia="Times New Roman" w:hAnsi="Verdana" w:cs="Times New Roman"/>
        </w:rPr>
        <w:t xml:space="preserve"> is reflected in the entity’s cumulative leave records; and</w:t>
      </w:r>
    </w:p>
    <w:p w14:paraId="61204067" w14:textId="77777777" w:rsidR="00C5660E" w:rsidRPr="00917C99"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917C99">
        <w:rPr>
          <w:rFonts w:ascii="Verdana" w:eastAsia="Times New Roman" w:hAnsi="Verdana" w:cs="Times New Roman"/>
        </w:rPr>
        <w:t xml:space="preserve">Observe the rate paid to the employees or officials agrees to the authorized salary/pay rate found within the personnel file. </w:t>
      </w:r>
    </w:p>
    <w:p w14:paraId="2D538D28" w14:textId="063E0044" w:rsidR="00C5660E" w:rsidRPr="00917C99"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917C99">
        <w:rPr>
          <w:rFonts w:ascii="Verdana" w:eastAsia="Calibri" w:hAnsi="Verdana" w:cs="Times New Roman"/>
        </w:rPr>
        <w:t xml:space="preserve">Obtain a listing of those employees or officials that received termination payments during the fiscal period and management’s representation that the list is complete. Randomly select two employees or officials and obtain related documentation of the hours and pay rates used in management’s termination payment calculations and the entity’s policy on termination payments. Agree the hours to the employee’s or official’s cumulative leave records, agree the pay rates to the employee’s or official’s authorized pay rates in the employee’s or official’s personnel files, and agree the termination payment to entity policy. </w:t>
      </w:r>
    </w:p>
    <w:p w14:paraId="795AF3EC" w14:textId="4AB8BC42" w:rsidR="00C5660E" w:rsidRPr="00917C99"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917C99">
        <w:rPr>
          <w:rFonts w:ascii="Verdana" w:eastAsia="Calibri" w:hAnsi="Verdana" w:cs="Times New Roman"/>
        </w:rPr>
        <w:t>Obtain management’s representation that employer and employee portions of third-party payroll related amounts (e.g., payroll taxes, retirement contributions, health insurance premiums, garnishments, workers’ compensation premiums) have been paid, and any associated forms have been filed, by required deadlines.</w:t>
      </w:r>
    </w:p>
    <w:p w14:paraId="314C8E03" w14:textId="77777777" w:rsidR="00C5660E" w:rsidRPr="00AF501D" w:rsidRDefault="00C5660E" w:rsidP="00C5660E">
      <w:pPr>
        <w:spacing w:after="0" w:line="240" w:lineRule="auto"/>
        <w:jc w:val="both"/>
        <w:rPr>
          <w:rFonts w:ascii="Verdana" w:eastAsia="Times New Roman" w:hAnsi="Verdana" w:cs="Times New Roman"/>
          <w:highlight w:val="yellow"/>
        </w:rPr>
      </w:pPr>
    </w:p>
    <w:p w14:paraId="60F0C482" w14:textId="77777777" w:rsidR="00C5660E" w:rsidRPr="009D6443" w:rsidRDefault="00C5660E" w:rsidP="00C5660E">
      <w:pPr>
        <w:pStyle w:val="ListParagraph"/>
        <w:numPr>
          <w:ilvl w:val="0"/>
          <w:numId w:val="50"/>
        </w:numPr>
        <w:pBdr>
          <w:bottom w:val="single" w:sz="4" w:space="1" w:color="auto"/>
        </w:pBdr>
        <w:rPr>
          <w:rFonts w:ascii="Verdana" w:eastAsia="Calibri" w:hAnsi="Verdana"/>
          <w:b/>
          <w:sz w:val="22"/>
          <w:szCs w:val="22"/>
        </w:rPr>
      </w:pPr>
      <w:bookmarkStart w:id="52" w:name="ETHICS"/>
      <w:r w:rsidRPr="009D6443">
        <w:rPr>
          <w:rFonts w:ascii="Verdana" w:eastAsia="Calibri" w:hAnsi="Verdana"/>
          <w:b/>
          <w:i/>
          <w:sz w:val="22"/>
          <w:szCs w:val="22"/>
        </w:rPr>
        <w:lastRenderedPageBreak/>
        <w:t>Ethics</w:t>
      </w:r>
      <w:bookmarkEnd w:id="52"/>
      <w:r w:rsidRPr="009D6443">
        <w:rPr>
          <w:rStyle w:val="FootnoteReference"/>
          <w:rFonts w:ascii="Verdana" w:eastAsia="Calibri" w:hAnsi="Verdana"/>
          <w:b/>
          <w:i/>
          <w:sz w:val="22"/>
          <w:szCs w:val="22"/>
        </w:rPr>
        <w:footnoteReference w:id="26"/>
      </w:r>
    </w:p>
    <w:p w14:paraId="0FAF8AA4" w14:textId="77777777" w:rsidR="00C5660E" w:rsidRPr="009D6443" w:rsidRDefault="00C5660E" w:rsidP="00C5660E">
      <w:pPr>
        <w:spacing w:after="0"/>
        <w:rPr>
          <w:rFonts w:ascii="Verdana" w:eastAsia="Calibri" w:hAnsi="Verdana" w:cs="Times New Roman"/>
        </w:rPr>
      </w:pPr>
    </w:p>
    <w:p w14:paraId="5C668021" w14:textId="77777777" w:rsidR="00C5660E" w:rsidRPr="009D6443" w:rsidRDefault="00C5660E" w:rsidP="00A222BF">
      <w:pPr>
        <w:numPr>
          <w:ilvl w:val="0"/>
          <w:numId w:val="58"/>
        </w:numPr>
        <w:tabs>
          <w:tab w:val="clear" w:pos="360"/>
          <w:tab w:val="num" w:pos="720"/>
        </w:tabs>
        <w:spacing w:after="120" w:line="240" w:lineRule="auto"/>
        <w:ind w:left="720" w:hanging="720"/>
        <w:jc w:val="both"/>
        <w:rPr>
          <w:rFonts w:ascii="Verdana" w:eastAsia="Calibri" w:hAnsi="Verdana" w:cs="Times New Roman"/>
        </w:rPr>
      </w:pPr>
      <w:r w:rsidRPr="009D6443">
        <w:rPr>
          <w:rFonts w:ascii="Verdana" w:eastAsia="Calibri" w:hAnsi="Verdana" w:cs="Times New Roman"/>
        </w:rPr>
        <w:t>Using the 5 randomly selected employees/officials from Payroll and Personnel procedure #9A obtain ethics documentation from management, and</w:t>
      </w:r>
    </w:p>
    <w:p w14:paraId="634E67EC" w14:textId="16B53B04" w:rsidR="00C5660E" w:rsidRPr="009D6443" w:rsidRDefault="00C5660E" w:rsidP="00A222BF">
      <w:pPr>
        <w:numPr>
          <w:ilvl w:val="1"/>
          <w:numId w:val="32"/>
        </w:numPr>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 xml:space="preserve">Observe whether the documentation demonstrates that each employee/official completed one hour of ethics training during the </w:t>
      </w:r>
      <w:r w:rsidR="007B2B9C" w:rsidRPr="009D6443">
        <w:rPr>
          <w:rFonts w:ascii="Verdana" w:eastAsia="Times New Roman" w:hAnsi="Verdana" w:cs="Times New Roman"/>
        </w:rPr>
        <w:t>calendar year</w:t>
      </w:r>
      <w:r w:rsidRPr="009D6443">
        <w:rPr>
          <w:rFonts w:ascii="Verdana" w:eastAsia="Times New Roman" w:hAnsi="Verdana" w:cs="Times New Roman"/>
        </w:rPr>
        <w:t xml:space="preserve"> as required by R.S. 42:1170</w:t>
      </w:r>
      <w:r w:rsidR="002B3646" w:rsidRPr="009D6443">
        <w:rPr>
          <w:rFonts w:ascii="Verdana" w:eastAsia="Times New Roman" w:hAnsi="Verdana" w:cs="Times New Roman"/>
        </w:rPr>
        <w:t>; and</w:t>
      </w:r>
    </w:p>
    <w:p w14:paraId="51F5C531" w14:textId="77777777" w:rsidR="00C5660E" w:rsidRPr="009D6443" w:rsidRDefault="00C5660E" w:rsidP="00A222BF">
      <w:pPr>
        <w:numPr>
          <w:ilvl w:val="1"/>
          <w:numId w:val="32"/>
        </w:numPr>
        <w:spacing w:after="120" w:line="240" w:lineRule="auto"/>
        <w:ind w:left="1440" w:hanging="720"/>
        <w:jc w:val="both"/>
        <w:rPr>
          <w:rFonts w:ascii="Verdana" w:eastAsia="Times New Roman" w:hAnsi="Verdana" w:cs="Times New Roman"/>
        </w:rPr>
      </w:pPr>
      <w:r w:rsidRPr="009D6443">
        <w:rPr>
          <w:rFonts w:ascii="Verdana" w:eastAsia="Times New Roman" w:hAnsi="Verdana" w:cs="Times New Roman"/>
        </w:rPr>
        <w:t>Observe whether the entity maintains documentation which demonstrates that each employee and official were notified of any changes to the entity’s ethics policy during the fiscal period, as applicable.</w:t>
      </w:r>
    </w:p>
    <w:p w14:paraId="5C9AB753" w14:textId="10FFC24A" w:rsidR="00C5660E" w:rsidRPr="009D6443" w:rsidRDefault="00C5660E" w:rsidP="00A222BF">
      <w:pPr>
        <w:numPr>
          <w:ilvl w:val="0"/>
          <w:numId w:val="32"/>
        </w:numPr>
        <w:tabs>
          <w:tab w:val="clear" w:pos="360"/>
          <w:tab w:val="num" w:pos="720"/>
        </w:tabs>
        <w:spacing w:after="120" w:line="240" w:lineRule="auto"/>
        <w:ind w:left="720" w:hanging="720"/>
        <w:jc w:val="both"/>
        <w:rPr>
          <w:rFonts w:ascii="Verdana" w:eastAsia="Times New Roman" w:hAnsi="Verdana" w:cs="Times New Roman"/>
        </w:rPr>
      </w:pPr>
      <w:r w:rsidRPr="009D6443">
        <w:rPr>
          <w:rFonts w:ascii="Verdana" w:eastAsia="Times New Roman" w:hAnsi="Verdana" w:cs="Times New Roman"/>
        </w:rPr>
        <w:t xml:space="preserve">Inquire and/or observe whether the agency has appointed </w:t>
      </w:r>
      <w:r w:rsidR="00F35C58" w:rsidRPr="009D6443">
        <w:rPr>
          <w:rFonts w:ascii="Verdana" w:eastAsia="Times New Roman" w:hAnsi="Verdana" w:cs="Times New Roman"/>
        </w:rPr>
        <w:t xml:space="preserve">an ethics </w:t>
      </w:r>
      <w:r w:rsidRPr="009D6443">
        <w:rPr>
          <w:rFonts w:ascii="Verdana" w:eastAsia="Times New Roman" w:hAnsi="Verdana" w:cs="Times New Roman"/>
        </w:rPr>
        <w:t>designee as required by R.S. 42:1170.</w:t>
      </w:r>
    </w:p>
    <w:p w14:paraId="3677D2C7" w14:textId="77777777" w:rsidR="00C5660E" w:rsidRPr="002467C2" w:rsidRDefault="00C5660E" w:rsidP="00C5660E">
      <w:pPr>
        <w:spacing w:after="0" w:line="240" w:lineRule="auto"/>
        <w:jc w:val="both"/>
        <w:rPr>
          <w:rFonts w:ascii="Verdana" w:eastAsia="Times New Roman" w:hAnsi="Verdana" w:cs="Times New Roman"/>
          <w:highlight w:val="yellow"/>
        </w:rPr>
      </w:pPr>
    </w:p>
    <w:p w14:paraId="2DDDFE27" w14:textId="77777777" w:rsidR="00C5660E" w:rsidRPr="00434F2A"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53" w:name="DEBT_SERVICE"/>
      <w:r w:rsidRPr="00434F2A">
        <w:rPr>
          <w:rFonts w:ascii="Verdana" w:hAnsi="Verdana"/>
          <w:b/>
          <w:i/>
          <w:color w:val="000000"/>
          <w:sz w:val="22"/>
          <w:szCs w:val="22"/>
        </w:rPr>
        <w:t>Debt Service</w:t>
      </w:r>
      <w:bookmarkEnd w:id="53"/>
      <w:r w:rsidRPr="00434F2A">
        <w:rPr>
          <w:rStyle w:val="FootnoteReference"/>
          <w:rFonts w:ascii="Verdana" w:hAnsi="Verdana"/>
          <w:b/>
          <w:i/>
          <w:color w:val="000000"/>
          <w:sz w:val="22"/>
          <w:szCs w:val="22"/>
        </w:rPr>
        <w:footnoteReference w:id="27"/>
      </w:r>
    </w:p>
    <w:p w14:paraId="386BDA30" w14:textId="77777777" w:rsidR="00C5660E" w:rsidRPr="00434F2A" w:rsidRDefault="00C5660E" w:rsidP="00C5660E">
      <w:pPr>
        <w:spacing w:after="0" w:line="240" w:lineRule="auto"/>
        <w:jc w:val="both"/>
        <w:rPr>
          <w:rFonts w:ascii="Verdana" w:eastAsia="Times New Roman" w:hAnsi="Verdana" w:cs="Times New Roman"/>
        </w:rPr>
      </w:pPr>
    </w:p>
    <w:p w14:paraId="1C9E29DF" w14:textId="28848762" w:rsidR="00C5660E" w:rsidRPr="00434F2A"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Obtain a listing of bonds/notes and other debt instruments issued during the fiscal period and management’s representation that the listing is complete.  Select all debt instruments on the listing, obtain supporting documentation, and observe that State Bond Commission approval was obtained for each debt instrument issued as required by Article VII, Section 8 of the Louisiana Constitution.</w:t>
      </w:r>
    </w:p>
    <w:p w14:paraId="7AB91FF5" w14:textId="70FE424E" w:rsidR="00C5660E"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Obtain a listing of bonds/notes outstanding at the end of the fiscal period and management’s representation that the listing is complete.  Randomly select one bond/note, inspect debt covenants, obtain supporting documentation for the reserve balance and payments, and agree actual reserve balances and payments to those required by debt covenants (including contingency funds, short-lived asset funds, or other funds required by the debt covenants).</w:t>
      </w:r>
    </w:p>
    <w:p w14:paraId="65428D77" w14:textId="4539F40F" w:rsidR="00885467" w:rsidRDefault="00885467" w:rsidP="00885467">
      <w:pPr>
        <w:spacing w:after="120" w:line="240" w:lineRule="auto"/>
        <w:jc w:val="both"/>
        <w:rPr>
          <w:rFonts w:ascii="Verdana" w:eastAsia="Calibri" w:hAnsi="Verdana" w:cs="Times New Roman"/>
        </w:rPr>
      </w:pPr>
    </w:p>
    <w:p w14:paraId="5B54B784" w14:textId="77777777" w:rsidR="00885467" w:rsidRPr="00434F2A" w:rsidRDefault="00885467" w:rsidP="00885467">
      <w:pPr>
        <w:spacing w:after="120" w:line="240" w:lineRule="auto"/>
        <w:jc w:val="both"/>
        <w:rPr>
          <w:rFonts w:ascii="Verdana" w:eastAsia="Calibri" w:hAnsi="Verdana" w:cs="Times New Roman"/>
        </w:rPr>
      </w:pPr>
    </w:p>
    <w:p w14:paraId="304A7D9D" w14:textId="77777777" w:rsidR="00210017" w:rsidRPr="002467C2" w:rsidRDefault="00210017" w:rsidP="00C5660E">
      <w:pPr>
        <w:spacing w:after="0" w:line="240" w:lineRule="auto"/>
        <w:ind w:left="720"/>
        <w:jc w:val="both"/>
        <w:rPr>
          <w:rFonts w:ascii="Verdana" w:hAnsi="Verdana" w:cs="Times New Roman"/>
          <w:highlight w:val="yellow"/>
        </w:rPr>
      </w:pPr>
    </w:p>
    <w:p w14:paraId="0473C1A0" w14:textId="77777777" w:rsidR="00C5660E" w:rsidRPr="00434F2A"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54" w:name="FRAUD_NOTICE"/>
      <w:r w:rsidRPr="00434F2A">
        <w:rPr>
          <w:rFonts w:ascii="Verdana" w:eastAsia="Calibri" w:hAnsi="Verdana"/>
          <w:b/>
          <w:i/>
          <w:sz w:val="22"/>
          <w:szCs w:val="22"/>
        </w:rPr>
        <w:lastRenderedPageBreak/>
        <w:t>Fraud Notice</w:t>
      </w:r>
      <w:bookmarkEnd w:id="54"/>
      <w:r w:rsidRPr="00434F2A">
        <w:rPr>
          <w:rStyle w:val="FootnoteReference"/>
          <w:rFonts w:ascii="Verdana" w:eastAsia="Calibri" w:hAnsi="Verdana"/>
          <w:b/>
          <w:i/>
          <w:sz w:val="22"/>
          <w:szCs w:val="22"/>
        </w:rPr>
        <w:footnoteReference w:id="28"/>
      </w:r>
    </w:p>
    <w:p w14:paraId="67D7C1D5" w14:textId="77777777" w:rsidR="00C5660E" w:rsidRPr="00434F2A" w:rsidRDefault="00C5660E" w:rsidP="00C5660E">
      <w:pPr>
        <w:spacing w:after="0"/>
        <w:rPr>
          <w:rFonts w:ascii="Verdana" w:eastAsia="Calibri" w:hAnsi="Verdana" w:cs="Times New Roman"/>
        </w:rPr>
      </w:pPr>
    </w:p>
    <w:p w14:paraId="5B33F6BF" w14:textId="77777777" w:rsidR="00C5660E" w:rsidRPr="00434F2A"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Obtain a listing of misappropriations of public funds and assets during the fiscal period and management’s representation that the listing is complete.  Select all misappropriations on the listing, obtain supporting documentation, and observe that the entity reported the misappropriation(s) to the legislative auditor and the district attorney of the parish in which the entity is domiciled as required by R.S. 24:523.</w:t>
      </w:r>
    </w:p>
    <w:p w14:paraId="738DEC94" w14:textId="77777777" w:rsidR="00C5660E" w:rsidRPr="00434F2A"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434F2A">
        <w:rPr>
          <w:rFonts w:ascii="Verdana" w:eastAsia="Calibri" w:hAnsi="Verdana" w:cs="Times New Roman"/>
        </w:rPr>
        <w:t>Observe that the entity has posted, on its premises and website, the notice required by R.S. 24:523.1 concerning the reporting of misappropriation, fraud, waste, or abuse of public funds.</w:t>
      </w:r>
    </w:p>
    <w:p w14:paraId="06B2A9CA" w14:textId="77777777" w:rsidR="006D3731" w:rsidRPr="002467C2" w:rsidRDefault="006D3731" w:rsidP="00C5660E">
      <w:pPr>
        <w:spacing w:after="120" w:line="240" w:lineRule="auto"/>
        <w:jc w:val="both"/>
        <w:rPr>
          <w:rFonts w:ascii="Verdana" w:eastAsia="Calibri" w:hAnsi="Verdana" w:cs="Times New Roman"/>
          <w:highlight w:val="yellow"/>
        </w:rPr>
      </w:pPr>
    </w:p>
    <w:p w14:paraId="42C23E54" w14:textId="77777777" w:rsidR="00C5660E" w:rsidRPr="00434F2A"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55" w:name="INFORMATION_TECHNOLOGY"/>
      <w:r w:rsidRPr="00434F2A">
        <w:rPr>
          <w:rFonts w:ascii="Verdana" w:hAnsi="Verdana"/>
          <w:b/>
          <w:i/>
          <w:color w:val="000000"/>
          <w:sz w:val="22"/>
          <w:szCs w:val="22"/>
        </w:rPr>
        <w:t>Information Technology Disaster Recovery/Business Continuity</w:t>
      </w:r>
    </w:p>
    <w:bookmarkEnd w:id="55"/>
    <w:p w14:paraId="30DDE965" w14:textId="77777777" w:rsidR="00C5660E" w:rsidRPr="00434F2A" w:rsidRDefault="00C5660E" w:rsidP="00C5660E">
      <w:pPr>
        <w:spacing w:after="0" w:line="240" w:lineRule="auto"/>
        <w:rPr>
          <w:rFonts w:ascii="Verdana" w:eastAsia="Times New Roman" w:hAnsi="Verdana" w:cs="Times New Roman"/>
          <w:color w:val="000000"/>
        </w:rPr>
      </w:pPr>
    </w:p>
    <w:p w14:paraId="4C4F891A" w14:textId="2C1B1D00" w:rsidR="00C5660E" w:rsidRPr="00434F2A" w:rsidRDefault="00C5660E" w:rsidP="00D52F0B">
      <w:pPr>
        <w:spacing w:after="120" w:line="240" w:lineRule="auto"/>
        <w:jc w:val="both"/>
        <w:rPr>
          <w:rFonts w:ascii="Verdana" w:eastAsia="Calibri" w:hAnsi="Verdana" w:cs="Times New Roman"/>
        </w:rPr>
      </w:pPr>
      <w:r w:rsidRPr="00434F2A">
        <w:rPr>
          <w:rFonts w:ascii="Verdana" w:eastAsia="Calibri" w:hAnsi="Verdana" w:cs="Times New Roman"/>
        </w:rPr>
        <w:t xml:space="preserve">Perform the following procedures, </w:t>
      </w:r>
      <w:r w:rsidRPr="00434F2A">
        <w:rPr>
          <w:rFonts w:ascii="Verdana" w:eastAsia="Calibri" w:hAnsi="Verdana" w:cs="Times New Roman"/>
          <w:b/>
        </w:rPr>
        <w:t>verbally discuss the results with management, and</w:t>
      </w:r>
      <w:r w:rsidRPr="00434F2A">
        <w:rPr>
          <w:rFonts w:ascii="Verdana" w:eastAsia="Calibri" w:hAnsi="Verdana" w:cs="Times New Roman"/>
        </w:rPr>
        <w:t xml:space="preserve"> </w:t>
      </w:r>
      <w:r w:rsidRPr="00434F2A">
        <w:rPr>
          <w:rFonts w:ascii="Verdana" w:eastAsia="Calibri" w:hAnsi="Verdana" w:cs="Times New Roman"/>
          <w:b/>
        </w:rPr>
        <w:t>report “We performed the procedure and discussed the results with management”</w:t>
      </w:r>
      <w:r w:rsidR="0036197E">
        <w:rPr>
          <w:rFonts w:ascii="Verdana" w:eastAsia="Calibri" w:hAnsi="Verdana" w:cs="Times New Roman"/>
          <w:b/>
        </w:rPr>
        <w:t>:</w:t>
      </w:r>
    </w:p>
    <w:p w14:paraId="224B9A3E" w14:textId="77777777" w:rsidR="00C5660E" w:rsidRPr="007E36C2" w:rsidRDefault="00C5660E" w:rsidP="00D52F0B">
      <w:pPr>
        <w:numPr>
          <w:ilvl w:val="0"/>
          <w:numId w:val="77"/>
        </w:numPr>
        <w:spacing w:line="240" w:lineRule="auto"/>
        <w:jc w:val="both"/>
        <w:rPr>
          <w:rFonts w:ascii="Verdana" w:eastAsia="Times New Roman" w:hAnsi="Verdana" w:cs="Times New Roman"/>
        </w:rPr>
      </w:pPr>
      <w:r w:rsidRPr="00434F2A">
        <w:rPr>
          <w:rFonts w:ascii="Verdana" w:eastAsia="Times New Roman" w:hAnsi="Verdana" w:cs="Times New Roman"/>
        </w:rPr>
        <w:t xml:space="preserve">Obtain and inspect the entity’s most recent documentation that it has backed up its critical data (if there is no written documentation, then inquire of personnel responsible for backing up critical data) and observe evidence that such backup (a) occurred within the past week, (b) was not stored on the government’s local </w:t>
      </w:r>
      <w:r w:rsidRPr="007E36C2">
        <w:rPr>
          <w:rFonts w:ascii="Verdana" w:eastAsia="Times New Roman" w:hAnsi="Verdana" w:cs="Times New Roman"/>
        </w:rPr>
        <w:t xml:space="preserve">server or network, and (c) was encrypted. </w:t>
      </w:r>
    </w:p>
    <w:p w14:paraId="4968F04C" w14:textId="77777777" w:rsidR="00C5660E" w:rsidRPr="00AF501D" w:rsidRDefault="00C5660E" w:rsidP="00AC3314">
      <w:pPr>
        <w:numPr>
          <w:ilvl w:val="0"/>
          <w:numId w:val="77"/>
        </w:numPr>
        <w:spacing w:line="240" w:lineRule="auto"/>
        <w:jc w:val="both"/>
        <w:rPr>
          <w:rFonts w:ascii="Verdana" w:eastAsia="Times New Roman" w:hAnsi="Verdana" w:cs="Times New Roman"/>
        </w:rPr>
      </w:pPr>
      <w:r w:rsidRPr="00F02CF2">
        <w:rPr>
          <w:rFonts w:ascii="Verdana" w:eastAsia="Times New Roman" w:hAnsi="Verdana" w:cs="Times New Roman"/>
        </w:rPr>
        <w:t>Obtain</w:t>
      </w:r>
      <w:r w:rsidRPr="00AC6967">
        <w:rPr>
          <w:rFonts w:ascii="Verdana" w:eastAsia="Times New Roman" w:hAnsi="Verdana" w:cs="Times New Roman"/>
        </w:rPr>
        <w:t xml:space="preserve"> and inspect the entity’s most recent documentation that it has tested/verified that its backups can be restored (if there is no written documentation, then inquire of personnel responsible for testing/verifying backup restoration) and observe evidence tha</w:t>
      </w:r>
      <w:r w:rsidRPr="00AF501D">
        <w:rPr>
          <w:rFonts w:ascii="Verdana" w:eastAsia="Times New Roman" w:hAnsi="Verdana" w:cs="Times New Roman"/>
        </w:rPr>
        <w:t>t the test/verification was successfully performed within the past 3 months.</w:t>
      </w:r>
    </w:p>
    <w:p w14:paraId="59D78127" w14:textId="77777777" w:rsidR="00C5660E" w:rsidRPr="00210017" w:rsidRDefault="00C5660E" w:rsidP="00D52F0B">
      <w:pPr>
        <w:numPr>
          <w:ilvl w:val="0"/>
          <w:numId w:val="77"/>
        </w:numPr>
        <w:spacing w:line="240" w:lineRule="auto"/>
        <w:jc w:val="both"/>
        <w:rPr>
          <w:rFonts w:ascii="Verdana" w:eastAsia="Times New Roman" w:hAnsi="Verdana" w:cs="Times New Roman"/>
        </w:rPr>
      </w:pPr>
      <w:r w:rsidRPr="00AF501D">
        <w:rPr>
          <w:rFonts w:ascii="Verdana" w:eastAsia="Times New Roman" w:hAnsi="Verdana" w:cs="Times New Roman"/>
        </w:rPr>
        <w:t>Obtain a listing of the entity’s computers currently in use and their related locations, and management’s representation that the listing is complete.  Randomly select 5 computers</w:t>
      </w:r>
      <w:r w:rsidRPr="00A07286">
        <w:rPr>
          <w:rFonts w:ascii="Verdana" w:eastAsia="Times New Roman" w:hAnsi="Verdana" w:cs="Times New Roman"/>
        </w:rPr>
        <w:t xml:space="preserve"> and observe while management demonstrates that the selected computers have current and active antivirus software and that the operating system and accounting system software in use are currently supported by the vendor. </w:t>
      </w:r>
    </w:p>
    <w:p w14:paraId="3B82A470" w14:textId="31818BBF" w:rsidR="00C5660E" w:rsidRPr="007E36C2" w:rsidRDefault="00447F69" w:rsidP="00D52F0B">
      <w:pPr>
        <w:numPr>
          <w:ilvl w:val="0"/>
          <w:numId w:val="77"/>
        </w:numPr>
        <w:spacing w:line="240" w:lineRule="auto"/>
        <w:jc w:val="both"/>
        <w:rPr>
          <w:rFonts w:ascii="Verdana" w:eastAsia="Times New Roman" w:hAnsi="Verdana" w:cs="Times New Roman"/>
        </w:rPr>
      </w:pPr>
      <w:r w:rsidRPr="00210017">
        <w:rPr>
          <w:rFonts w:ascii="Verdana" w:eastAsia="Times New Roman" w:hAnsi="Verdana" w:cs="Times New Roman"/>
        </w:rPr>
        <w:t>Randomly select 5 terminated employees (or all terminated employees if less than 5) u</w:t>
      </w:r>
      <w:r w:rsidR="00AB23E0" w:rsidRPr="00C83F70">
        <w:rPr>
          <w:rFonts w:ascii="Verdana" w:eastAsia="Times New Roman" w:hAnsi="Verdana" w:cs="Times New Roman"/>
        </w:rPr>
        <w:t xml:space="preserve">sing the </w:t>
      </w:r>
      <w:r w:rsidRPr="00C83F70">
        <w:rPr>
          <w:rFonts w:ascii="Verdana" w:eastAsia="Times New Roman" w:hAnsi="Verdana" w:cs="Times New Roman"/>
        </w:rPr>
        <w:t xml:space="preserve">list of terminated employees obtained in </w:t>
      </w:r>
      <w:r w:rsidR="00FB19EE" w:rsidRPr="00C83F70">
        <w:rPr>
          <w:rFonts w:ascii="Verdana" w:eastAsia="Times New Roman" w:hAnsi="Verdana" w:cs="Times New Roman"/>
        </w:rPr>
        <w:t xml:space="preserve">Payroll and Personnel </w:t>
      </w:r>
      <w:r w:rsidRPr="007E36C2">
        <w:rPr>
          <w:rFonts w:ascii="Verdana" w:eastAsia="Times New Roman" w:hAnsi="Verdana" w:cs="Times New Roman"/>
        </w:rPr>
        <w:lastRenderedPageBreak/>
        <w:t xml:space="preserve">procedure #9C. </w:t>
      </w:r>
      <w:bookmarkStart w:id="56" w:name="_Hlk207877945"/>
      <w:r w:rsidR="00C5660E" w:rsidRPr="007E36C2">
        <w:rPr>
          <w:rFonts w:ascii="Verdana" w:eastAsia="Times New Roman" w:hAnsi="Verdana" w:cs="Times New Roman"/>
        </w:rPr>
        <w:t xml:space="preserve">Observe evidence </w:t>
      </w:r>
      <w:bookmarkEnd w:id="56"/>
      <w:r w:rsidR="00C5660E" w:rsidRPr="007E36C2">
        <w:rPr>
          <w:rFonts w:ascii="Verdana" w:eastAsia="Times New Roman" w:hAnsi="Verdana" w:cs="Times New Roman"/>
        </w:rPr>
        <w:t xml:space="preserve">that </w:t>
      </w:r>
      <w:r w:rsidRPr="007E36C2">
        <w:rPr>
          <w:rFonts w:ascii="Verdana" w:eastAsia="Times New Roman" w:hAnsi="Verdana" w:cs="Times New Roman"/>
        </w:rPr>
        <w:t xml:space="preserve">the selected </w:t>
      </w:r>
      <w:r w:rsidR="00C5660E" w:rsidRPr="007E36C2">
        <w:rPr>
          <w:rFonts w:ascii="Verdana" w:eastAsia="Times New Roman" w:hAnsi="Verdana" w:cs="Times New Roman"/>
        </w:rPr>
        <w:t xml:space="preserve">terminated employees have been removed or disabled from the network. </w:t>
      </w:r>
    </w:p>
    <w:p w14:paraId="69F7B427" w14:textId="343B622A" w:rsidR="006C5EE8" w:rsidRPr="007E36C2" w:rsidRDefault="00A56262" w:rsidP="00D52F0B">
      <w:pPr>
        <w:pStyle w:val="ListParagraph"/>
        <w:numPr>
          <w:ilvl w:val="0"/>
          <w:numId w:val="77"/>
        </w:numPr>
        <w:rPr>
          <w:rFonts w:ascii="Verdana" w:hAnsi="Verdana"/>
          <w:sz w:val="22"/>
          <w:szCs w:val="22"/>
        </w:rPr>
      </w:pPr>
      <w:r w:rsidRPr="007E36C2">
        <w:rPr>
          <w:rFonts w:ascii="Verdana" w:hAnsi="Verdana"/>
          <w:sz w:val="22"/>
          <w:szCs w:val="22"/>
        </w:rPr>
        <w:t xml:space="preserve">Using the 5 randomly selected employees/officials from Payroll and Personnel procedure #9A, </w:t>
      </w:r>
      <w:r w:rsidR="00211957" w:rsidRPr="007E36C2">
        <w:rPr>
          <w:rFonts w:ascii="Verdana" w:hAnsi="Verdana"/>
          <w:sz w:val="22"/>
          <w:szCs w:val="22"/>
        </w:rPr>
        <w:t>obtain</w:t>
      </w:r>
      <w:r w:rsidR="003125A4" w:rsidRPr="007E36C2">
        <w:rPr>
          <w:rFonts w:ascii="Verdana" w:hAnsi="Verdana"/>
          <w:sz w:val="22"/>
          <w:szCs w:val="22"/>
        </w:rPr>
        <w:t xml:space="preserve"> cybersecurity training documentation from management</w:t>
      </w:r>
      <w:r w:rsidR="007E4391" w:rsidRPr="007E36C2">
        <w:rPr>
          <w:rFonts w:ascii="Verdana" w:hAnsi="Verdana"/>
          <w:sz w:val="22"/>
          <w:szCs w:val="22"/>
        </w:rPr>
        <w:t>,</w:t>
      </w:r>
      <w:r w:rsidR="00FB19EE" w:rsidRPr="007E36C2">
        <w:rPr>
          <w:rFonts w:ascii="Verdana" w:hAnsi="Verdana"/>
          <w:sz w:val="22"/>
          <w:szCs w:val="22"/>
        </w:rPr>
        <w:t xml:space="preserve"> and o</w:t>
      </w:r>
      <w:r w:rsidRPr="007E36C2">
        <w:rPr>
          <w:rFonts w:ascii="Verdana" w:hAnsi="Verdana"/>
          <w:sz w:val="22"/>
          <w:szCs w:val="22"/>
        </w:rPr>
        <w:t xml:space="preserve">bserve </w:t>
      </w:r>
      <w:r w:rsidR="00FB19EE" w:rsidRPr="007E36C2">
        <w:rPr>
          <w:rFonts w:ascii="Verdana" w:hAnsi="Verdana"/>
          <w:sz w:val="22"/>
          <w:szCs w:val="22"/>
        </w:rPr>
        <w:t xml:space="preserve">that </w:t>
      </w:r>
      <w:r w:rsidRPr="007E36C2">
        <w:rPr>
          <w:rFonts w:ascii="Verdana" w:hAnsi="Verdana"/>
          <w:sz w:val="22"/>
          <w:szCs w:val="22"/>
        </w:rPr>
        <w:t>the documentation demonstrat</w:t>
      </w:r>
      <w:r w:rsidR="00FB19EE" w:rsidRPr="007E36C2">
        <w:rPr>
          <w:rFonts w:ascii="Verdana" w:hAnsi="Verdana"/>
          <w:sz w:val="22"/>
          <w:szCs w:val="22"/>
        </w:rPr>
        <w:t>es</w:t>
      </w:r>
      <w:r w:rsidRPr="007E36C2">
        <w:rPr>
          <w:rFonts w:ascii="Verdana" w:hAnsi="Verdana"/>
          <w:sz w:val="22"/>
          <w:szCs w:val="22"/>
        </w:rPr>
        <w:t xml:space="preserve"> </w:t>
      </w:r>
      <w:r w:rsidR="00DB5DFC" w:rsidRPr="007E36C2">
        <w:rPr>
          <w:rFonts w:ascii="Verdana" w:hAnsi="Verdana"/>
          <w:sz w:val="22"/>
          <w:szCs w:val="22"/>
        </w:rPr>
        <w:t xml:space="preserve">that </w:t>
      </w:r>
      <w:r w:rsidR="006C5EE8" w:rsidRPr="007E36C2">
        <w:rPr>
          <w:rFonts w:ascii="Verdana" w:hAnsi="Verdana"/>
          <w:sz w:val="22"/>
          <w:szCs w:val="22"/>
        </w:rPr>
        <w:t xml:space="preserve">the following </w:t>
      </w:r>
      <w:r w:rsidRPr="007E36C2">
        <w:rPr>
          <w:rFonts w:ascii="Verdana" w:hAnsi="Verdana"/>
          <w:sz w:val="22"/>
          <w:szCs w:val="22"/>
        </w:rPr>
        <w:t>employee</w:t>
      </w:r>
      <w:r w:rsidR="006C5EE8" w:rsidRPr="007E36C2">
        <w:rPr>
          <w:rFonts w:ascii="Verdana" w:hAnsi="Verdana"/>
          <w:sz w:val="22"/>
          <w:szCs w:val="22"/>
        </w:rPr>
        <w:t>s</w:t>
      </w:r>
      <w:r w:rsidRPr="007E36C2">
        <w:rPr>
          <w:rFonts w:ascii="Verdana" w:hAnsi="Verdana"/>
          <w:sz w:val="22"/>
          <w:szCs w:val="22"/>
        </w:rPr>
        <w:t>/official</w:t>
      </w:r>
      <w:r w:rsidR="006C5EE8" w:rsidRPr="007E36C2">
        <w:rPr>
          <w:rFonts w:ascii="Verdana" w:hAnsi="Verdana"/>
          <w:sz w:val="22"/>
          <w:szCs w:val="22"/>
        </w:rPr>
        <w:t>s</w:t>
      </w:r>
      <w:r w:rsidRPr="007E36C2">
        <w:rPr>
          <w:rFonts w:ascii="Verdana" w:hAnsi="Verdana"/>
          <w:sz w:val="22"/>
          <w:szCs w:val="22"/>
        </w:rPr>
        <w:t xml:space="preserve"> with access </w:t>
      </w:r>
      <w:bookmarkStart w:id="57" w:name="_Hlk144897750"/>
      <w:r w:rsidRPr="007E36C2">
        <w:rPr>
          <w:rFonts w:ascii="Verdana" w:hAnsi="Verdana"/>
          <w:sz w:val="22"/>
          <w:szCs w:val="22"/>
        </w:rPr>
        <w:t xml:space="preserve">to the agency’s information technology assets </w:t>
      </w:r>
      <w:bookmarkEnd w:id="57"/>
      <w:r w:rsidRPr="007E36C2">
        <w:rPr>
          <w:rFonts w:ascii="Verdana" w:hAnsi="Verdana"/>
          <w:sz w:val="22"/>
          <w:szCs w:val="22"/>
        </w:rPr>
        <w:t>ha</w:t>
      </w:r>
      <w:r w:rsidR="00DB0AD7" w:rsidRPr="007E36C2">
        <w:rPr>
          <w:rFonts w:ascii="Verdana" w:hAnsi="Verdana"/>
          <w:sz w:val="22"/>
          <w:szCs w:val="22"/>
        </w:rPr>
        <w:t>ve</w:t>
      </w:r>
      <w:r w:rsidRPr="007E36C2">
        <w:rPr>
          <w:rFonts w:ascii="Verdana" w:hAnsi="Verdana"/>
          <w:sz w:val="22"/>
          <w:szCs w:val="22"/>
        </w:rPr>
        <w:t xml:space="preserve"> completed cybersecurity training as required by R.S. 42:1267</w:t>
      </w:r>
      <w:r w:rsidR="00824BE2" w:rsidRPr="007E36C2">
        <w:rPr>
          <w:rStyle w:val="FootnoteReference"/>
          <w:rFonts w:ascii="Verdana" w:hAnsi="Verdana"/>
          <w:sz w:val="22"/>
          <w:szCs w:val="22"/>
        </w:rPr>
        <w:footnoteReference w:id="29"/>
      </w:r>
      <w:r w:rsidR="00357AEE" w:rsidRPr="007E36C2">
        <w:rPr>
          <w:rFonts w:ascii="Verdana" w:hAnsi="Verdana"/>
          <w:sz w:val="22"/>
          <w:szCs w:val="22"/>
        </w:rPr>
        <w:t>. The requirements are as follows</w:t>
      </w:r>
      <w:r w:rsidR="006C5EE8" w:rsidRPr="007E36C2">
        <w:rPr>
          <w:rFonts w:ascii="Verdana" w:hAnsi="Verdana"/>
          <w:sz w:val="22"/>
          <w:szCs w:val="22"/>
        </w:rPr>
        <w:t>:</w:t>
      </w:r>
    </w:p>
    <w:p w14:paraId="50B610FF" w14:textId="77777777" w:rsidR="00FB19EE" w:rsidRPr="007E36C2" w:rsidRDefault="00FB19EE" w:rsidP="00283AEE">
      <w:pPr>
        <w:pStyle w:val="ListParagraph"/>
        <w:rPr>
          <w:rFonts w:ascii="Verdana" w:hAnsi="Verdana"/>
          <w:sz w:val="22"/>
          <w:szCs w:val="22"/>
        </w:rPr>
      </w:pPr>
    </w:p>
    <w:p w14:paraId="40CF73F7" w14:textId="1FB4EEC9" w:rsidR="006C5EE8" w:rsidRPr="007E36C2" w:rsidRDefault="006C5EE8" w:rsidP="00283AEE">
      <w:pPr>
        <w:pStyle w:val="ListParagraph"/>
        <w:numPr>
          <w:ilvl w:val="3"/>
          <w:numId w:val="59"/>
        </w:numPr>
        <w:rPr>
          <w:rFonts w:ascii="Verdana" w:hAnsi="Verdana"/>
          <w:sz w:val="22"/>
          <w:szCs w:val="22"/>
        </w:rPr>
      </w:pPr>
      <w:r w:rsidRPr="007E36C2">
        <w:rPr>
          <w:rFonts w:ascii="Verdana" w:hAnsi="Verdana"/>
          <w:sz w:val="22"/>
          <w:szCs w:val="22"/>
        </w:rPr>
        <w:t>Hired before June 9, 2020</w:t>
      </w:r>
      <w:r w:rsidR="00FB19EE" w:rsidRPr="007E36C2">
        <w:rPr>
          <w:rFonts w:ascii="Verdana" w:hAnsi="Verdana"/>
          <w:sz w:val="22"/>
          <w:szCs w:val="22"/>
        </w:rPr>
        <w:t xml:space="preserve"> -</w:t>
      </w:r>
      <w:r w:rsidRPr="007E36C2">
        <w:rPr>
          <w:rFonts w:ascii="Verdana" w:hAnsi="Verdana"/>
          <w:sz w:val="22"/>
          <w:szCs w:val="22"/>
        </w:rPr>
        <w:t xml:space="preserve"> completed the training</w:t>
      </w:r>
      <w:r w:rsidR="00FB19EE" w:rsidRPr="007E36C2">
        <w:rPr>
          <w:rFonts w:ascii="Verdana" w:hAnsi="Verdana"/>
          <w:sz w:val="22"/>
          <w:szCs w:val="22"/>
        </w:rPr>
        <w:t>; and</w:t>
      </w:r>
    </w:p>
    <w:p w14:paraId="0603CC7D" w14:textId="0738FEEB" w:rsidR="00A56262" w:rsidRDefault="006C5EE8" w:rsidP="00283AEE">
      <w:pPr>
        <w:pStyle w:val="ListParagraph"/>
        <w:numPr>
          <w:ilvl w:val="3"/>
          <w:numId w:val="59"/>
        </w:numPr>
        <w:rPr>
          <w:rFonts w:ascii="Verdana" w:hAnsi="Verdana"/>
          <w:sz w:val="22"/>
          <w:szCs w:val="22"/>
        </w:rPr>
      </w:pPr>
      <w:r w:rsidRPr="007E36C2">
        <w:rPr>
          <w:rFonts w:ascii="Verdana" w:hAnsi="Verdana"/>
          <w:sz w:val="22"/>
          <w:szCs w:val="22"/>
        </w:rPr>
        <w:t>Hired on or after June 9, 2020</w:t>
      </w:r>
      <w:r w:rsidR="00FB19EE" w:rsidRPr="007E36C2">
        <w:rPr>
          <w:rFonts w:ascii="Verdana" w:hAnsi="Verdana"/>
          <w:sz w:val="22"/>
          <w:szCs w:val="22"/>
        </w:rPr>
        <w:t xml:space="preserve"> -</w:t>
      </w:r>
      <w:r w:rsidRPr="007E36C2">
        <w:rPr>
          <w:rFonts w:ascii="Verdana" w:hAnsi="Verdana"/>
          <w:sz w:val="22"/>
          <w:szCs w:val="22"/>
        </w:rPr>
        <w:t xml:space="preserve"> completed the training within 30 days of initial service or employment.</w:t>
      </w:r>
    </w:p>
    <w:p w14:paraId="30983EB6" w14:textId="77777777" w:rsidR="00C83F70" w:rsidRDefault="00C83F70" w:rsidP="00C83F70">
      <w:pPr>
        <w:pStyle w:val="ListParagraph"/>
        <w:ind w:left="2520"/>
        <w:rPr>
          <w:rFonts w:ascii="Verdana" w:hAnsi="Verdana"/>
          <w:sz w:val="22"/>
          <w:szCs w:val="22"/>
        </w:rPr>
      </w:pPr>
    </w:p>
    <w:p w14:paraId="62139C2C" w14:textId="498848C6" w:rsidR="00C5660E" w:rsidRPr="007E36C2" w:rsidRDefault="00C5660E" w:rsidP="00284194">
      <w:pPr>
        <w:pStyle w:val="ListParagraph"/>
        <w:numPr>
          <w:ilvl w:val="0"/>
          <w:numId w:val="50"/>
        </w:numPr>
        <w:pBdr>
          <w:bottom w:val="single" w:sz="4" w:space="1" w:color="auto"/>
        </w:pBdr>
        <w:spacing w:before="240" w:after="360"/>
        <w:rPr>
          <w:rFonts w:ascii="Verdana" w:hAnsi="Verdana"/>
          <w:b/>
          <w:i/>
          <w:color w:val="000000"/>
          <w:sz w:val="22"/>
          <w:szCs w:val="22"/>
        </w:rPr>
      </w:pPr>
      <w:bookmarkStart w:id="58" w:name="PREVENTION_SEXUAL_HARASSMENT"/>
      <w:r w:rsidRPr="007E36C2">
        <w:rPr>
          <w:rFonts w:ascii="Verdana" w:hAnsi="Verdana"/>
          <w:b/>
          <w:i/>
          <w:color w:val="000000"/>
          <w:sz w:val="22"/>
          <w:szCs w:val="22"/>
        </w:rPr>
        <w:t>Prevention of Sexual Harassment</w:t>
      </w:r>
      <w:bookmarkEnd w:id="58"/>
      <w:r w:rsidRPr="007E36C2">
        <w:rPr>
          <w:rStyle w:val="FootnoteReference"/>
          <w:rFonts w:ascii="Verdana" w:hAnsi="Verdana"/>
          <w:b/>
          <w:i/>
          <w:color w:val="000000"/>
          <w:sz w:val="22"/>
          <w:szCs w:val="22"/>
        </w:rPr>
        <w:footnoteReference w:id="30"/>
      </w:r>
    </w:p>
    <w:p w14:paraId="366578DD" w14:textId="77777777" w:rsidR="00C5660E" w:rsidRPr="00937BEC"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937BEC">
        <w:rPr>
          <w:rFonts w:ascii="Verdana" w:eastAsia="Times New Roman" w:hAnsi="Verdana" w:cs="Times New Roman"/>
        </w:rPr>
        <w:t>Using the 5 randomly selected employees/officials from Payroll and Personnel procedure #9A, obtain sexual harassment training documentation from management, and observe that the documentation demonstrates each employee/official completed at least one hour of sexual harassment training during the calendar year as required by R.S. 42:343.</w:t>
      </w:r>
    </w:p>
    <w:p w14:paraId="6DDA9119" w14:textId="77777777" w:rsidR="00C5660E" w:rsidRPr="00937BEC"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937BEC">
        <w:rPr>
          <w:rFonts w:ascii="Verdana" w:eastAsia="Times New Roman" w:hAnsi="Verdana" w:cs="Times New Roman"/>
        </w:rPr>
        <w:t>Observe that the entity has posted its sexual harassment policy and complaint procedure on its website (or in a conspicuous location on the entity’s premises if the entity does not have a website).</w:t>
      </w:r>
    </w:p>
    <w:p w14:paraId="74FD4B9D" w14:textId="77777777" w:rsidR="00C5660E" w:rsidRPr="00937BEC"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937BEC">
        <w:rPr>
          <w:rFonts w:ascii="Verdana" w:eastAsia="Times New Roman" w:hAnsi="Verdana" w:cs="Times New Roman"/>
        </w:rPr>
        <w:t>Obtain the entity’s annual sexual harassment report for the current fiscal period, observe that the report was dated on or before February 1, and observe that the report includes the applicable requirements of R.S. 42:344:</w:t>
      </w:r>
    </w:p>
    <w:p w14:paraId="344AB6A7"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and percentage of public servants in the agency who have completed the training requirements;</w:t>
      </w:r>
    </w:p>
    <w:p w14:paraId="314DFECF"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of sexual harassment complaints received by the agency;</w:t>
      </w:r>
    </w:p>
    <w:p w14:paraId="18351262"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lastRenderedPageBreak/>
        <w:t>Number of complaints which resulted in a finding that sexual harassment occurred;</w:t>
      </w:r>
    </w:p>
    <w:p w14:paraId="470F0282"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Number of complaints in which the finding of sexual harassment resulted in discipline or corrective action; and</w:t>
      </w:r>
    </w:p>
    <w:p w14:paraId="25E004F4" w14:textId="77777777" w:rsidR="00C5660E" w:rsidRPr="00937BEC"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937BEC">
        <w:rPr>
          <w:rFonts w:ascii="Verdana" w:eastAsia="Times New Roman" w:hAnsi="Verdana" w:cs="Times New Roman"/>
        </w:rPr>
        <w:t>Amount of time it took to resolve each complaint.</w:t>
      </w:r>
    </w:p>
    <w:sectPr w:rsidR="00C5660E" w:rsidRPr="00937BEC" w:rsidSect="00451703">
      <w:headerReference w:type="even" r:id="rId18"/>
      <w:headerReference w:type="default" r:id="rId19"/>
      <w:footerReference w:type="default" r:id="rId20"/>
      <w:headerReference w:type="first" r:id="rId21"/>
      <w:footerReference w:type="first" r:id="rId22"/>
      <w:pgSz w:w="12240" w:h="15840"/>
      <w:pgMar w:top="1973" w:right="1440" w:bottom="1440" w:left="1440"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17ED0" w14:textId="77777777" w:rsidR="005C1773" w:rsidRDefault="005C1773" w:rsidP="00CD2DF8">
      <w:pPr>
        <w:spacing w:after="0" w:line="240" w:lineRule="auto"/>
      </w:pPr>
      <w:r>
        <w:separator/>
      </w:r>
    </w:p>
  </w:endnote>
  <w:endnote w:type="continuationSeparator" w:id="0">
    <w:p w14:paraId="0EA3775B" w14:textId="77777777" w:rsidR="005C1773" w:rsidRDefault="005C1773" w:rsidP="00CD2DF8">
      <w:pPr>
        <w:spacing w:after="0" w:line="240" w:lineRule="auto"/>
      </w:pPr>
      <w:r>
        <w:continuationSeparator/>
      </w:r>
    </w:p>
  </w:endnote>
  <w:endnote w:type="continuationNotice" w:id="1">
    <w:p w14:paraId="53875C7B" w14:textId="77777777" w:rsidR="005C1773" w:rsidRDefault="005C1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panose1 w:val="020B0504020202020204"/>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212020461" w:displacedByCustomXml="next"/>
  <w:bookmarkStart w:id="1" w:name="_Hlk212020462" w:displacedByCustomXml="next"/>
  <w:bookmarkStart w:id="2" w:name="_Hlk212020463" w:displacedByCustomXml="next"/>
  <w:bookmarkStart w:id="3" w:name="_Hlk212020464" w:displacedByCustomXml="next"/>
  <w:bookmarkStart w:id="4" w:name="_Hlk212020465" w:displacedByCustomXml="next"/>
  <w:bookmarkStart w:id="5" w:name="_Hlk212020466" w:displacedByCustomXml="next"/>
  <w:bookmarkStart w:id="6" w:name="_Hlk212020467" w:displacedByCustomXml="next"/>
  <w:bookmarkStart w:id="7" w:name="_Hlk212020468" w:displacedByCustomXml="next"/>
  <w:bookmarkStart w:id="8" w:name="_Hlk212020469" w:displacedByCustomXml="next"/>
  <w:bookmarkStart w:id="9" w:name="_Hlk212020470" w:displacedByCustomXml="next"/>
  <w:bookmarkStart w:id="10" w:name="_Hlk212020471" w:displacedByCustomXml="next"/>
  <w:bookmarkStart w:id="11" w:name="_Hlk212020472" w:displacedByCustomXml="next"/>
  <w:bookmarkStart w:id="12" w:name="_Hlk212021407" w:displacedByCustomXml="next"/>
  <w:bookmarkStart w:id="13" w:name="_Hlk212021408" w:displacedByCustomXml="next"/>
  <w:sdt>
    <w:sdtPr>
      <w:rPr>
        <w:rFonts w:ascii="Verdana" w:hAnsi="Verdana"/>
      </w:rPr>
      <w:id w:val="-42753134"/>
      <w:docPartObj>
        <w:docPartGallery w:val="Page Numbers (Bottom of Page)"/>
        <w:docPartUnique/>
      </w:docPartObj>
    </w:sdtPr>
    <w:sdtEndPr>
      <w:rPr>
        <w:color w:val="808080" w:themeColor="background1" w:themeShade="80"/>
        <w:spacing w:val="60"/>
      </w:rPr>
    </w:sdtEndPr>
    <w:sdtContent>
      <w:p w14:paraId="2B175E9E" w14:textId="012F0B1B" w:rsidR="00B6519F" w:rsidRPr="002F03C9" w:rsidRDefault="009E71E5" w:rsidP="00B6519F">
        <w:pPr>
          <w:pStyle w:val="Footer"/>
          <w:pBdr>
            <w:top w:val="single" w:sz="4" w:space="1" w:color="D9D9D9" w:themeColor="background1" w:themeShade="D9"/>
          </w:pBdr>
          <w:jc w:val="right"/>
          <w:rPr>
            <w:rFonts w:ascii="Verdana" w:hAnsi="Verdana"/>
          </w:rPr>
        </w:pPr>
        <w:r w:rsidRPr="009E71E5">
          <w:rPr>
            <w:rFonts w:ascii="Verdana" w:hAnsi="Verdana"/>
          </w:rPr>
          <w:fldChar w:fldCharType="begin"/>
        </w:r>
        <w:r w:rsidRPr="009E71E5">
          <w:rPr>
            <w:rFonts w:ascii="Verdana" w:hAnsi="Verdana"/>
          </w:rPr>
          <w:instrText xml:space="preserve"> PAGE   \* MERGEFORMAT </w:instrText>
        </w:r>
        <w:r w:rsidRPr="009E71E5">
          <w:rPr>
            <w:rFonts w:ascii="Verdana" w:hAnsi="Verdana"/>
          </w:rPr>
          <w:fldChar w:fldCharType="separate"/>
        </w:r>
        <w:r w:rsidRPr="009E71E5">
          <w:rPr>
            <w:rFonts w:ascii="Verdana" w:hAnsi="Verdana"/>
            <w:bCs/>
            <w:noProof/>
          </w:rPr>
          <w:t>1</w:t>
        </w:r>
        <w:r w:rsidRPr="009E71E5">
          <w:rPr>
            <w:rFonts w:ascii="Verdana" w:hAnsi="Verdana"/>
            <w:bCs/>
            <w:noProof/>
          </w:rPr>
          <w:fldChar w:fldCharType="end"/>
        </w:r>
        <w:r w:rsidRPr="009E71E5">
          <w:rPr>
            <w:rFonts w:ascii="Verdana" w:hAnsi="Verdana"/>
            <w:bCs/>
          </w:rPr>
          <w:t xml:space="preserve"> </w:t>
        </w:r>
        <w:r w:rsidRPr="009E71E5">
          <w:rPr>
            <w:rFonts w:ascii="Verdana" w:hAnsi="Verdana"/>
          </w:rPr>
          <w:t>|</w:t>
        </w:r>
        <w:r w:rsidRPr="009E71E5">
          <w:rPr>
            <w:rFonts w:ascii="Verdana" w:hAnsi="Verdana"/>
            <w:b/>
            <w:bCs/>
          </w:rPr>
          <w:t xml:space="preserve"> </w:t>
        </w:r>
        <w:r w:rsidRPr="009E71E5">
          <w:rPr>
            <w:rFonts w:ascii="Verdana" w:hAnsi="Verdana"/>
            <w:color w:val="7F7F7F" w:themeColor="background1" w:themeShade="7F"/>
            <w:spacing w:val="60"/>
          </w:rPr>
          <w:t>Page</w:t>
        </w:r>
      </w:p>
    </w:sdtContent>
  </w:sdt>
  <w:p w14:paraId="3A958EF8" w14:textId="21EBDA4F" w:rsidR="00B6519F" w:rsidRPr="002F03C9" w:rsidRDefault="00B6519F" w:rsidP="00B6519F">
    <w:pPr>
      <w:pStyle w:val="Footer"/>
      <w:rPr>
        <w:rFonts w:ascii="Verdana" w:hAnsi="Verdana"/>
        <w:i/>
      </w:rPr>
    </w:pPr>
    <w:r w:rsidRPr="002F03C9">
      <w:rPr>
        <w:rFonts w:ascii="Verdana" w:hAnsi="Verdana"/>
        <w:i/>
      </w:rPr>
      <w:t>Last Updated:</w:t>
    </w:r>
    <w:r>
      <w:rPr>
        <w:rFonts w:ascii="Verdana" w:hAnsi="Verdana"/>
        <w:i/>
      </w:rPr>
      <w:t xml:space="preserve"> </w:t>
    </w:r>
    <w:r w:rsidRPr="006D3731">
      <w:rPr>
        <w:rFonts w:ascii="Verdana" w:hAnsi="Verdana"/>
        <w:i/>
      </w:rPr>
      <w:t>October 22, 2025</w:t>
    </w:r>
  </w:p>
  <w:bookmarkEnd w:id="13"/>
  <w:bookmarkEnd w:id="12"/>
  <w:bookmarkEnd w:id="11"/>
  <w:bookmarkEnd w:id="10"/>
  <w:bookmarkEnd w:id="9"/>
  <w:bookmarkEnd w:id="8"/>
  <w:bookmarkEnd w:id="7"/>
  <w:bookmarkEnd w:id="6"/>
  <w:bookmarkEnd w:id="5"/>
  <w:bookmarkEnd w:id="4"/>
  <w:bookmarkEnd w:id="3"/>
  <w:bookmarkEnd w:id="2"/>
  <w:bookmarkEnd w:id="1"/>
  <w:bookmarkEnd w:id="0"/>
  <w:p w14:paraId="142592FC" w14:textId="77777777" w:rsidR="00B6519F" w:rsidRDefault="00B65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D33D" w14:textId="432088BC" w:rsidR="00CA5079" w:rsidRPr="00C72C8C" w:rsidRDefault="00CA5079">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1272745394"/>
      <w:docPartObj>
        <w:docPartGallery w:val="Page Numbers (Bottom of Page)"/>
        <w:docPartUnique/>
      </w:docPartObj>
    </w:sdtPr>
    <w:sdtEndPr>
      <w:rPr>
        <w:color w:val="808080" w:themeColor="background1" w:themeShade="80"/>
        <w:spacing w:val="60"/>
      </w:rPr>
    </w:sdtEndPr>
    <w:sdtContent>
      <w:p w14:paraId="1CEDD2D5" w14:textId="77777777" w:rsidR="00451703" w:rsidRPr="002F03C9" w:rsidRDefault="00451703" w:rsidP="00451703">
        <w:pPr>
          <w:pStyle w:val="Footer"/>
          <w:pBdr>
            <w:top w:val="single" w:sz="4" w:space="1" w:color="D9D9D9" w:themeColor="background1" w:themeShade="D9"/>
          </w:pBdr>
          <w:jc w:val="right"/>
          <w:rPr>
            <w:rFonts w:ascii="Verdana" w:hAnsi="Verdana"/>
          </w:rPr>
        </w:pPr>
        <w:r w:rsidRPr="009E71E5">
          <w:rPr>
            <w:rFonts w:ascii="Verdana" w:hAnsi="Verdana"/>
          </w:rPr>
          <w:fldChar w:fldCharType="begin"/>
        </w:r>
        <w:r w:rsidRPr="009E71E5">
          <w:rPr>
            <w:rFonts w:ascii="Verdana" w:hAnsi="Verdana"/>
          </w:rPr>
          <w:instrText xml:space="preserve"> PAGE   \* MERGEFORMAT </w:instrText>
        </w:r>
        <w:r w:rsidRPr="009E71E5">
          <w:rPr>
            <w:rFonts w:ascii="Verdana" w:hAnsi="Verdana"/>
          </w:rPr>
          <w:fldChar w:fldCharType="separate"/>
        </w:r>
        <w:r>
          <w:rPr>
            <w:rFonts w:ascii="Verdana" w:hAnsi="Verdana"/>
          </w:rPr>
          <w:t>1</w:t>
        </w:r>
        <w:r w:rsidRPr="009E71E5">
          <w:rPr>
            <w:rFonts w:ascii="Verdana" w:hAnsi="Verdana"/>
            <w:bCs/>
            <w:noProof/>
          </w:rPr>
          <w:fldChar w:fldCharType="end"/>
        </w:r>
        <w:r w:rsidRPr="009E71E5">
          <w:rPr>
            <w:rFonts w:ascii="Verdana" w:hAnsi="Verdana"/>
            <w:bCs/>
          </w:rPr>
          <w:t xml:space="preserve"> </w:t>
        </w:r>
        <w:r w:rsidRPr="009E71E5">
          <w:rPr>
            <w:rFonts w:ascii="Verdana" w:hAnsi="Verdana"/>
          </w:rPr>
          <w:t>|</w:t>
        </w:r>
        <w:r w:rsidRPr="009E71E5">
          <w:rPr>
            <w:rFonts w:ascii="Verdana" w:hAnsi="Verdana"/>
            <w:b/>
            <w:bCs/>
          </w:rPr>
          <w:t xml:space="preserve"> </w:t>
        </w:r>
        <w:r w:rsidRPr="009E71E5">
          <w:rPr>
            <w:rFonts w:ascii="Verdana" w:hAnsi="Verdana"/>
            <w:color w:val="7F7F7F" w:themeColor="background1" w:themeShade="7F"/>
            <w:spacing w:val="60"/>
          </w:rPr>
          <w:t>Page</w:t>
        </w:r>
      </w:p>
    </w:sdtContent>
  </w:sdt>
  <w:p w14:paraId="6ABE022E" w14:textId="77777777" w:rsidR="00451703" w:rsidRPr="002F03C9" w:rsidRDefault="00451703" w:rsidP="00451703">
    <w:pPr>
      <w:pStyle w:val="Footer"/>
      <w:rPr>
        <w:rFonts w:ascii="Verdana" w:hAnsi="Verdana"/>
        <w:i/>
      </w:rPr>
    </w:pPr>
    <w:r w:rsidRPr="002F03C9">
      <w:rPr>
        <w:rFonts w:ascii="Verdana" w:hAnsi="Verdana"/>
        <w:i/>
      </w:rPr>
      <w:t>Last Updated:</w:t>
    </w:r>
    <w:r>
      <w:rPr>
        <w:rFonts w:ascii="Verdana" w:hAnsi="Verdana"/>
        <w:i/>
      </w:rPr>
      <w:t xml:space="preserve"> </w:t>
    </w:r>
    <w:r w:rsidRPr="006D3731">
      <w:rPr>
        <w:rFonts w:ascii="Verdana" w:hAnsi="Verdana"/>
        <w:i/>
      </w:rPr>
      <w:t>October 22, 2025</w:t>
    </w:r>
  </w:p>
  <w:p w14:paraId="16667F85" w14:textId="77777777" w:rsidR="00451703" w:rsidRDefault="00451703" w:rsidP="00451703">
    <w:pPr>
      <w:pStyle w:val="Footer"/>
    </w:pPr>
  </w:p>
  <w:p w14:paraId="7536DEDD" w14:textId="77777777" w:rsidR="00451703" w:rsidRDefault="00451703" w:rsidP="009E71E5">
    <w:pPr>
      <w:pStyle w:val="Footer"/>
    </w:pPr>
  </w:p>
  <w:p w14:paraId="5510C469" w14:textId="77777777" w:rsidR="00451703" w:rsidRPr="00C72C8C" w:rsidRDefault="00451703">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1018585784"/>
      <w:docPartObj>
        <w:docPartGallery w:val="Page Numbers (Bottom of Page)"/>
        <w:docPartUnique/>
      </w:docPartObj>
    </w:sdtPr>
    <w:sdtEndPr>
      <w:rPr>
        <w:color w:val="808080" w:themeColor="background1" w:themeShade="80"/>
        <w:spacing w:val="60"/>
      </w:rPr>
    </w:sdtEndPr>
    <w:sdtContent>
      <w:p w14:paraId="39479B01" w14:textId="77777777" w:rsidR="00451703" w:rsidRPr="002F03C9" w:rsidRDefault="00451703" w:rsidP="00B6519F">
        <w:pPr>
          <w:pStyle w:val="Footer"/>
          <w:pBdr>
            <w:top w:val="single" w:sz="4" w:space="1" w:color="D9D9D9" w:themeColor="background1" w:themeShade="D9"/>
          </w:pBdr>
          <w:jc w:val="right"/>
          <w:rPr>
            <w:rFonts w:ascii="Verdana" w:hAnsi="Verdana"/>
          </w:rPr>
        </w:pPr>
        <w:r w:rsidRPr="009E71E5">
          <w:rPr>
            <w:rFonts w:ascii="Verdana" w:hAnsi="Verdana"/>
          </w:rPr>
          <w:fldChar w:fldCharType="begin"/>
        </w:r>
        <w:r w:rsidRPr="009E71E5">
          <w:rPr>
            <w:rFonts w:ascii="Verdana" w:hAnsi="Verdana"/>
          </w:rPr>
          <w:instrText xml:space="preserve"> PAGE   \* MERGEFORMAT </w:instrText>
        </w:r>
        <w:r w:rsidRPr="009E71E5">
          <w:rPr>
            <w:rFonts w:ascii="Verdana" w:hAnsi="Verdana"/>
          </w:rPr>
          <w:fldChar w:fldCharType="separate"/>
        </w:r>
        <w:r w:rsidRPr="009E71E5">
          <w:rPr>
            <w:rFonts w:ascii="Verdana" w:hAnsi="Verdana"/>
            <w:bCs/>
            <w:noProof/>
          </w:rPr>
          <w:t>1</w:t>
        </w:r>
        <w:r w:rsidRPr="009E71E5">
          <w:rPr>
            <w:rFonts w:ascii="Verdana" w:hAnsi="Verdana"/>
            <w:bCs/>
            <w:noProof/>
          </w:rPr>
          <w:fldChar w:fldCharType="end"/>
        </w:r>
        <w:r w:rsidRPr="009E71E5">
          <w:rPr>
            <w:rFonts w:ascii="Verdana" w:hAnsi="Verdana"/>
            <w:bCs/>
          </w:rPr>
          <w:t xml:space="preserve"> </w:t>
        </w:r>
        <w:r w:rsidRPr="009E71E5">
          <w:rPr>
            <w:rFonts w:ascii="Verdana" w:hAnsi="Verdana"/>
          </w:rPr>
          <w:t>|</w:t>
        </w:r>
        <w:r w:rsidRPr="009E71E5">
          <w:rPr>
            <w:rFonts w:ascii="Verdana" w:hAnsi="Verdana"/>
            <w:b/>
            <w:bCs/>
          </w:rPr>
          <w:t xml:space="preserve"> </w:t>
        </w:r>
        <w:r w:rsidRPr="009E71E5">
          <w:rPr>
            <w:rFonts w:ascii="Verdana" w:hAnsi="Verdana"/>
            <w:color w:val="7F7F7F" w:themeColor="background1" w:themeShade="7F"/>
            <w:spacing w:val="60"/>
          </w:rPr>
          <w:t>Page</w:t>
        </w:r>
      </w:p>
    </w:sdtContent>
  </w:sdt>
  <w:p w14:paraId="0B12577C" w14:textId="77777777" w:rsidR="00451703" w:rsidRPr="002F03C9" w:rsidRDefault="00451703" w:rsidP="00B6519F">
    <w:pPr>
      <w:pStyle w:val="Footer"/>
      <w:rPr>
        <w:rFonts w:ascii="Verdana" w:hAnsi="Verdana"/>
        <w:i/>
      </w:rPr>
    </w:pPr>
    <w:r w:rsidRPr="002F03C9">
      <w:rPr>
        <w:rFonts w:ascii="Verdana" w:hAnsi="Verdana"/>
        <w:i/>
      </w:rPr>
      <w:t>Last Updated:</w:t>
    </w:r>
    <w:r>
      <w:rPr>
        <w:rFonts w:ascii="Verdana" w:hAnsi="Verdana"/>
        <w:i/>
      </w:rPr>
      <w:t xml:space="preserve"> </w:t>
    </w:r>
    <w:r w:rsidRPr="006D3731">
      <w:rPr>
        <w:rFonts w:ascii="Verdana" w:hAnsi="Verdana"/>
        <w:i/>
      </w:rPr>
      <w:t>October 22, 2025</w:t>
    </w:r>
  </w:p>
  <w:p w14:paraId="59B2F13C" w14:textId="77777777" w:rsidR="00451703" w:rsidRDefault="00451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8F601" w14:textId="77777777" w:rsidR="005C1773" w:rsidRDefault="005C1773" w:rsidP="00CD2DF8">
      <w:pPr>
        <w:spacing w:after="0" w:line="240" w:lineRule="auto"/>
      </w:pPr>
      <w:r>
        <w:separator/>
      </w:r>
    </w:p>
  </w:footnote>
  <w:footnote w:type="continuationSeparator" w:id="0">
    <w:p w14:paraId="7719AEE7" w14:textId="77777777" w:rsidR="005C1773" w:rsidRDefault="005C1773" w:rsidP="00CD2DF8">
      <w:pPr>
        <w:spacing w:after="0" w:line="240" w:lineRule="auto"/>
      </w:pPr>
      <w:r>
        <w:continuationSeparator/>
      </w:r>
    </w:p>
  </w:footnote>
  <w:footnote w:type="continuationNotice" w:id="1">
    <w:p w14:paraId="557D5183" w14:textId="77777777" w:rsidR="005C1773" w:rsidRDefault="005C1773">
      <w:pPr>
        <w:spacing w:after="0" w:line="240" w:lineRule="auto"/>
      </w:pPr>
    </w:p>
  </w:footnote>
  <w:footnote w:id="2">
    <w:p w14:paraId="2B7A984A" w14:textId="705A3AF3" w:rsidR="00CA5079" w:rsidRDefault="00CA5079">
      <w:pPr>
        <w:pStyle w:val="FootnoteText"/>
        <w:rPr>
          <w:rFonts w:ascii="Verdana" w:hAnsi="Verdana" w:cs="Times New Roman"/>
          <w:sz w:val="18"/>
          <w:szCs w:val="18"/>
        </w:rPr>
      </w:pPr>
      <w:r w:rsidRPr="002F03C9">
        <w:rPr>
          <w:rStyle w:val="FootnoteReference"/>
          <w:rFonts w:ascii="Verdana" w:hAnsi="Verdana" w:cs="Times New Roman"/>
          <w:sz w:val="18"/>
          <w:szCs w:val="18"/>
        </w:rPr>
        <w:footnoteRef/>
      </w:r>
      <w:r w:rsidRPr="002F03C9">
        <w:rPr>
          <w:rFonts w:ascii="Verdana" w:hAnsi="Verdana" w:cs="Times New Roman"/>
          <w:sz w:val="18"/>
          <w:szCs w:val="18"/>
        </w:rPr>
        <w:t xml:space="preserve"> R.S. 24:511-24:559</w:t>
      </w:r>
    </w:p>
    <w:p w14:paraId="509476F0" w14:textId="77777777" w:rsidR="006D3731" w:rsidRPr="002F03C9" w:rsidRDefault="006D3731">
      <w:pPr>
        <w:pStyle w:val="FootnoteText"/>
        <w:rPr>
          <w:rFonts w:ascii="Verdana" w:hAnsi="Verdana" w:cs="Times New Roman"/>
          <w:sz w:val="18"/>
          <w:szCs w:val="18"/>
        </w:rPr>
      </w:pPr>
    </w:p>
  </w:footnote>
  <w:footnote w:id="3">
    <w:p w14:paraId="08355117" w14:textId="1D97B11E" w:rsidR="004B5005" w:rsidRDefault="004B5005">
      <w:pPr>
        <w:pStyle w:val="FootnoteText"/>
      </w:pPr>
      <w:r>
        <w:rPr>
          <w:rStyle w:val="FootnoteReference"/>
        </w:rPr>
        <w:footnoteRef/>
      </w:r>
      <w:r>
        <w:t xml:space="preserve"> </w:t>
      </w:r>
      <w:r w:rsidRPr="004B5005">
        <w:t xml:space="preserve">Entities that receive </w:t>
      </w:r>
      <w:r w:rsidRPr="004B5005">
        <w:rPr>
          <w:b/>
        </w:rPr>
        <w:t>non-emergency</w:t>
      </w:r>
      <w:r w:rsidRPr="004B5005">
        <w:t xml:space="preserve"> </w:t>
      </w:r>
      <w:r w:rsidRPr="004B5005">
        <w:rPr>
          <w:b/>
        </w:rPr>
        <w:t xml:space="preserve">extensions </w:t>
      </w:r>
      <w:r w:rsidRPr="004B5005">
        <w:t>are not eligible for the reduced testing</w:t>
      </w:r>
      <w:r w:rsidR="00EE708F">
        <w:t>.</w:t>
      </w:r>
      <w:r w:rsidRPr="004B5005">
        <w:t xml:space="preserve"> </w:t>
      </w:r>
    </w:p>
    <w:p w14:paraId="5F729434" w14:textId="77777777" w:rsidR="006D3731" w:rsidRDefault="006D3731">
      <w:pPr>
        <w:pStyle w:val="FootnoteText"/>
      </w:pPr>
    </w:p>
  </w:footnote>
  <w:footnote w:id="4">
    <w:p w14:paraId="6FADA845" w14:textId="49AC7398" w:rsidR="00EE708F" w:rsidRDefault="00EE708F">
      <w:pPr>
        <w:pStyle w:val="FootnoteText"/>
      </w:pPr>
      <w:r>
        <w:rPr>
          <w:rStyle w:val="FootnoteReference"/>
        </w:rPr>
        <w:footnoteRef/>
      </w:r>
      <w:r>
        <w:t xml:space="preserve"> </w:t>
      </w:r>
      <w:r w:rsidR="00330C40" w:rsidRPr="00330C40">
        <w:t xml:space="preserve">Audit reports submitted by the </w:t>
      </w:r>
      <w:r w:rsidR="00330C40" w:rsidRPr="00330C40">
        <w:rPr>
          <w:b/>
        </w:rPr>
        <w:t>emergency extension</w:t>
      </w:r>
      <w:r w:rsidR="00330C40" w:rsidRPr="00330C40">
        <w:t xml:space="preserve"> due date will be considered on time</w:t>
      </w:r>
      <w:r w:rsidR="00330C40">
        <w:t>. Emergency extensions may</w:t>
      </w:r>
      <w:r w:rsidR="00816F40">
        <w:t xml:space="preserve"> be</w:t>
      </w:r>
      <w:r w:rsidR="00330C40">
        <w:t xml:space="preserve"> </w:t>
      </w:r>
      <w:r w:rsidR="00330C40" w:rsidRPr="00330C40">
        <w:t xml:space="preserve">granted when </w:t>
      </w:r>
      <w:r w:rsidR="00330C40">
        <w:t xml:space="preserve">there is </w:t>
      </w:r>
      <w:r w:rsidR="00330C40" w:rsidRPr="00330C40">
        <w:t>a gubernatorially declared disaster or emergency prevent</w:t>
      </w:r>
      <w:r w:rsidR="00330C40">
        <w:t>ing</w:t>
      </w:r>
      <w:r w:rsidR="00330C40" w:rsidRPr="00330C40">
        <w:t xml:space="preserve"> the local auditee from completing the report by the statutory due date.</w:t>
      </w:r>
    </w:p>
    <w:p w14:paraId="77DB6CDA" w14:textId="77777777" w:rsidR="006D3731" w:rsidRDefault="006D3731">
      <w:pPr>
        <w:pStyle w:val="FootnoteText"/>
      </w:pPr>
    </w:p>
  </w:footnote>
  <w:footnote w:id="5">
    <w:p w14:paraId="4512F898" w14:textId="59B8CC1F" w:rsidR="00CA5079" w:rsidRDefault="00CA5079">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Article 7, Section 14 of the Louisiana Constitution prohibits the loan, pledge, or donation of funds, credit, property, or things of value (e.g. cash advances or non-business purchases, regardless of whether they were reimbursed).</w:t>
      </w:r>
    </w:p>
    <w:p w14:paraId="217B95DC" w14:textId="77777777" w:rsidR="006D3731" w:rsidRPr="00094945" w:rsidRDefault="006D3731">
      <w:pPr>
        <w:pStyle w:val="FootnoteText"/>
        <w:rPr>
          <w:rFonts w:ascii="Verdana" w:hAnsi="Verdana" w:cs="Times New Roman"/>
          <w:sz w:val="18"/>
          <w:szCs w:val="18"/>
        </w:rPr>
      </w:pPr>
    </w:p>
  </w:footnote>
  <w:footnote w:id="6">
    <w:p w14:paraId="03D7A834" w14:textId="1D30CF2C" w:rsidR="00CA5079" w:rsidRDefault="00CA5079">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This exclusion would also apply to procedure #4D(i) below.</w:t>
      </w:r>
    </w:p>
    <w:p w14:paraId="748891F0" w14:textId="77777777" w:rsidR="006D3731" w:rsidRPr="00094945" w:rsidRDefault="006D3731">
      <w:pPr>
        <w:pStyle w:val="FootnoteText"/>
        <w:rPr>
          <w:rFonts w:ascii="Verdana" w:hAnsi="Verdana" w:cs="Times New Roman"/>
          <w:sz w:val="18"/>
          <w:szCs w:val="18"/>
        </w:rPr>
      </w:pPr>
    </w:p>
  </w:footnote>
  <w:footnote w:id="7">
    <w:p w14:paraId="696D16FB" w14:textId="3653A4EA" w:rsidR="00CA5079" w:rsidRDefault="00CA5079" w:rsidP="00C5660E">
      <w:pPr>
        <w:pStyle w:val="FootnoteText"/>
        <w:rPr>
          <w:rFonts w:ascii="Verdana" w:eastAsia="Times New Roman"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094945">
        <w:rPr>
          <w:rFonts w:ascii="Verdana" w:eastAsia="Times New Roman" w:hAnsi="Verdana" w:cs="Times New Roman"/>
          <w:sz w:val="18"/>
          <w:szCs w:val="18"/>
        </w:rPr>
        <w:t>For governmental organizations, the practitioner may eliminate those categories and subcategories not applicable to the organization’s operations.  For quasi-public organizations, including nonprofits, the practitioner may eliminate those categories and subcategories not applicable to public funds administered by the quasi-public.</w:t>
      </w:r>
    </w:p>
    <w:p w14:paraId="41EA813F" w14:textId="77777777" w:rsidR="006D3731" w:rsidRPr="00094945" w:rsidRDefault="006D3731" w:rsidP="00C5660E">
      <w:pPr>
        <w:pStyle w:val="FootnoteText"/>
        <w:rPr>
          <w:rFonts w:ascii="Verdana" w:hAnsi="Verdana" w:cs="Times New Roman"/>
          <w:sz w:val="18"/>
          <w:szCs w:val="18"/>
        </w:rPr>
      </w:pPr>
    </w:p>
  </w:footnote>
  <w:footnote w:id="8">
    <w:p w14:paraId="19178390"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nonprofit should have written policies and procedures relating to ethics.</w:t>
      </w:r>
    </w:p>
  </w:footnote>
  <w:footnote w:id="9">
    <w:p w14:paraId="361EDFC3" w14:textId="77777777" w:rsidR="00CA5079" w:rsidRPr="00AF6D4E" w:rsidRDefault="00CA5079"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These procedures are not applicable to entities managed by a single elected official, such as a sheriff or assessor.</w:t>
      </w:r>
    </w:p>
  </w:footnote>
  <w:footnote w:id="10">
    <w:p w14:paraId="597B1B5F" w14:textId="77777777" w:rsidR="00CA5079" w:rsidRPr="0054069F" w:rsidRDefault="00CA5079"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Proprietary fund types are defined under GASB standards and include enterprise and internal service funds.  The related procedure addresses these funds as a way to verify that boards are provided with financial information necessary to make informed decisions about entity operations, including proprietary operations that are not required to be budgeted under the Local Government Budget Act.</w:t>
      </w:r>
    </w:p>
  </w:footnote>
  <w:footnote w:id="11">
    <w:p w14:paraId="62D5FC0D" w14:textId="77777777" w:rsidR="00CA5079" w:rsidRPr="0054069F" w:rsidRDefault="00CA5079"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 xml:space="preserve"> R.S. 24:513 (A)(1)(b)(iv) defines public funds.</w:t>
      </w:r>
    </w:p>
  </w:footnote>
  <w:footnote w:id="12">
    <w:p w14:paraId="137BC74A" w14:textId="34904BAC" w:rsidR="00CA5079" w:rsidRPr="00F94089" w:rsidRDefault="00CA5079">
      <w:pPr>
        <w:pStyle w:val="FootnoteText"/>
        <w:rPr>
          <w:rFonts w:ascii="Verdana" w:hAnsi="Verdana"/>
          <w:sz w:val="18"/>
          <w:szCs w:val="18"/>
        </w:rPr>
      </w:pPr>
      <w:r w:rsidRPr="00F94089">
        <w:rPr>
          <w:rStyle w:val="FootnoteReference"/>
          <w:rFonts w:ascii="Verdana" w:hAnsi="Verdana"/>
          <w:sz w:val="18"/>
          <w:szCs w:val="18"/>
        </w:rPr>
        <w:footnoteRef/>
      </w:r>
      <w:r w:rsidRPr="00F94089">
        <w:rPr>
          <w:rFonts w:ascii="Verdana" w:hAnsi="Verdana"/>
          <w:sz w:val="18"/>
          <w:szCs w:val="18"/>
        </w:rPr>
        <w:t xml:space="preserve"> No exception is necessary if management’s opinion is that the cost of taking corrective action for findings related to improper segregation of duties or inadequate design of controls over the preparation of the financial statements being audited</w:t>
      </w:r>
      <w:r w:rsidRPr="00F94089" w:rsidDel="00BF0DBF">
        <w:rPr>
          <w:rFonts w:ascii="Verdana" w:hAnsi="Verdana"/>
          <w:sz w:val="18"/>
          <w:szCs w:val="18"/>
        </w:rPr>
        <w:t xml:space="preserve"> </w:t>
      </w:r>
      <w:r w:rsidRPr="00F94089">
        <w:rPr>
          <w:rFonts w:ascii="Verdana" w:hAnsi="Verdana"/>
          <w:sz w:val="18"/>
          <w:szCs w:val="18"/>
        </w:rPr>
        <w:t xml:space="preserve">exceeds the benefits of correcting those findings.  </w:t>
      </w:r>
    </w:p>
  </w:footnote>
  <w:footnote w:id="13">
    <w:p w14:paraId="4633782E" w14:textId="5C6D185D" w:rsidR="00CA5079" w:rsidRDefault="00CA5079" w:rsidP="00C5660E">
      <w:pPr>
        <w:pStyle w:val="FootnoteText"/>
        <w:rPr>
          <w:rFonts w:ascii="Verdana" w:hAnsi="Verdana" w:cs="Times New Roman"/>
          <w:sz w:val="18"/>
          <w:szCs w:val="18"/>
        </w:rPr>
      </w:pPr>
      <w:r w:rsidRPr="00F94089">
        <w:rPr>
          <w:rStyle w:val="FootnoteReference"/>
          <w:rFonts w:ascii="Verdana" w:hAnsi="Verdana" w:cs="Times New Roman"/>
          <w:sz w:val="18"/>
          <w:szCs w:val="18"/>
        </w:rPr>
        <w:footnoteRef/>
      </w:r>
      <w:r w:rsidRPr="00F94089">
        <w:rPr>
          <w:rFonts w:ascii="Verdana" w:hAnsi="Verdana" w:cs="Times New Roman"/>
          <w:sz w:val="18"/>
          <w:szCs w:val="18"/>
        </w:rPr>
        <w:t xml:space="preserve"> Accounts selected may exclude savings and investment accounts that are not part of the entity’s daily business operations.</w:t>
      </w:r>
    </w:p>
    <w:p w14:paraId="604C96C1" w14:textId="77777777" w:rsidR="006D3731" w:rsidRPr="008E7233" w:rsidRDefault="006D3731" w:rsidP="00C5660E">
      <w:pPr>
        <w:pStyle w:val="FootnoteText"/>
        <w:rPr>
          <w:rFonts w:ascii="Verdana" w:hAnsi="Verdana" w:cs="Times New Roman"/>
          <w:sz w:val="18"/>
          <w:szCs w:val="18"/>
        </w:rPr>
      </w:pPr>
    </w:p>
  </w:footnote>
  <w:footnote w:id="14">
    <w:p w14:paraId="3F966769"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Collections category is not required to be performed if the entity has a third-party contractor performing all collection functions (e.g., receiving collections, preparing deposits, and making deposits).</w:t>
      </w:r>
    </w:p>
  </w:footnote>
  <w:footnote w:id="15">
    <w:p w14:paraId="0809F3CD"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deposit site is a physical location where a deposit is prepared and reconciled.</w:t>
      </w:r>
    </w:p>
  </w:footnote>
  <w:footnote w:id="16">
    <w:p w14:paraId="00DAABFC" w14:textId="75404453" w:rsidR="00CA5079"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collection location is a physical location where cash is collected.  An entity may have one or more collection locations whose collections are brought to a deposit site for deposit. For example, in a school district a collection location may be a classroom and a deposit site may be the school office.</w:t>
      </w:r>
      <w:r>
        <w:rPr>
          <w:rFonts w:ascii="Verdana" w:hAnsi="Verdana" w:cs="Times New Roman"/>
          <w:sz w:val="18"/>
          <w:szCs w:val="18"/>
        </w:rPr>
        <w:t xml:space="preserve"> For school boards only, the practitioner should consider the deposit site and collection location to be the same if there is a central person (secretary or bookkeeper) through which collections are deposited.</w:t>
      </w:r>
    </w:p>
    <w:p w14:paraId="3D8A18AB" w14:textId="77777777" w:rsidR="006D3731" w:rsidRPr="008B0939" w:rsidRDefault="006D3731" w:rsidP="00C5660E">
      <w:pPr>
        <w:pStyle w:val="FootnoteText"/>
        <w:rPr>
          <w:rFonts w:ascii="Times New Roman" w:hAnsi="Times New Roman" w:cs="Times New Roman"/>
          <w:sz w:val="16"/>
          <w:szCs w:val="16"/>
        </w:rPr>
      </w:pPr>
    </w:p>
  </w:footnote>
  <w:footnote w:id="17">
    <w:p w14:paraId="600491FA" w14:textId="77777777" w:rsidR="00CA5079" w:rsidRPr="00094945" w:rsidRDefault="00CA5079" w:rsidP="00C5660E">
      <w:pPr>
        <w:pStyle w:val="FootnoteText"/>
        <w:ind w:left="144" w:hanging="144"/>
        <w:rPr>
          <w:rFonts w:ascii="Verdana" w:hAnsi="Verdana" w:cs="Times New Roman"/>
          <w:sz w:val="18"/>
          <w:szCs w:val="18"/>
        </w:rPr>
      </w:pPr>
      <w:bookmarkStart w:id="46" w:name="_Hlk175575947"/>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practitioner is not required to test for completeness of revenues relative to classroom collections by teachers.</w:t>
      </w:r>
    </w:p>
    <w:bookmarkEnd w:id="46"/>
  </w:footnote>
  <w:footnote w:id="18">
    <w:p w14:paraId="7D0DAB2B" w14:textId="75E11CFA" w:rsidR="00CA5079" w:rsidRDefault="00CA5079">
      <w:pPr>
        <w:pStyle w:val="FootnoteText"/>
        <w:rPr>
          <w:rFonts w:ascii="Verdana" w:hAnsi="Verdana"/>
          <w:sz w:val="18"/>
          <w:szCs w:val="18"/>
        </w:rPr>
      </w:pPr>
      <w:r>
        <w:rPr>
          <w:rStyle w:val="FootnoteReference"/>
        </w:rPr>
        <w:footnoteRef/>
      </w:r>
      <w:r>
        <w:t xml:space="preserve"> </w:t>
      </w:r>
      <w:r w:rsidRPr="00722D00">
        <w:rPr>
          <w:rFonts w:ascii="Verdana" w:hAnsi="Verdana"/>
          <w:sz w:val="18"/>
          <w:szCs w:val="18"/>
        </w:rPr>
        <w:t>As required by Louisiana Revised Statute 39:1212.</w:t>
      </w:r>
    </w:p>
    <w:p w14:paraId="5821A040" w14:textId="77777777" w:rsidR="006D3731" w:rsidRDefault="006D3731">
      <w:pPr>
        <w:pStyle w:val="FootnoteText"/>
      </w:pPr>
    </w:p>
  </w:footnote>
  <w:footnote w:id="19">
    <w:p w14:paraId="0702F419" w14:textId="1D0D93CA" w:rsidR="00CA5079" w:rsidRDefault="00CA5079">
      <w:pPr>
        <w:pStyle w:val="FootnoteText"/>
      </w:pPr>
      <w:r>
        <w:rPr>
          <w:rStyle w:val="FootnoteReference"/>
        </w:rPr>
        <w:footnoteRef/>
      </w:r>
      <w:r>
        <w:t xml:space="preserve"> Electronic disbursements do not include transfers from one bank account to another within the agency (i.e. operating account to payroll account). </w:t>
      </w:r>
    </w:p>
    <w:p w14:paraId="2CEB6C60" w14:textId="77777777" w:rsidR="006D3731" w:rsidRDefault="006D3731">
      <w:pPr>
        <w:pStyle w:val="FootnoteText"/>
      </w:pPr>
    </w:p>
  </w:footnote>
  <w:footnote w:id="20">
    <w:p w14:paraId="65D07AF3" w14:textId="466436C3"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Including cards used by school staff for either school operations or </w:t>
      </w:r>
      <w:r>
        <w:rPr>
          <w:rFonts w:ascii="Verdana" w:hAnsi="Verdana" w:cs="Times New Roman"/>
          <w:sz w:val="18"/>
          <w:szCs w:val="18"/>
        </w:rPr>
        <w:t>school</w:t>
      </w:r>
      <w:r w:rsidRPr="00094945">
        <w:rPr>
          <w:rFonts w:ascii="Verdana" w:hAnsi="Verdana" w:cs="Times New Roman"/>
          <w:sz w:val="18"/>
          <w:szCs w:val="18"/>
        </w:rPr>
        <w:t xml:space="preserve"> activity fund operations.</w:t>
      </w:r>
    </w:p>
  </w:footnote>
  <w:footnote w:id="21">
    <w:p w14:paraId="0A09BAFC" w14:textId="55CD9422"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For example, if 3 of the 5 cards selected were fuel cards, transactions would only be selected for each of the 2 credit cards.  Conceivably, if all 5 cards randomly selected under procedure #</w:t>
      </w:r>
      <w:r>
        <w:rPr>
          <w:rFonts w:ascii="Verdana" w:hAnsi="Verdana" w:cs="Times New Roman"/>
          <w:sz w:val="18"/>
          <w:szCs w:val="18"/>
        </w:rPr>
        <w:t>6</w:t>
      </w:r>
      <w:r w:rsidRPr="00094945">
        <w:rPr>
          <w:rFonts w:ascii="Verdana" w:hAnsi="Verdana" w:cs="Times New Roman"/>
          <w:sz w:val="18"/>
          <w:szCs w:val="18"/>
        </w:rPr>
        <w:t>B were fuel cards, procedure #</w:t>
      </w:r>
      <w:r>
        <w:rPr>
          <w:rFonts w:ascii="Verdana" w:hAnsi="Verdana" w:cs="Times New Roman"/>
          <w:sz w:val="18"/>
          <w:szCs w:val="18"/>
        </w:rPr>
        <w:t>6</w:t>
      </w:r>
      <w:r w:rsidRPr="00094945">
        <w:rPr>
          <w:rFonts w:ascii="Verdana" w:hAnsi="Verdana" w:cs="Times New Roman"/>
          <w:sz w:val="18"/>
          <w:szCs w:val="18"/>
        </w:rPr>
        <w:t>C would not be applicable.</w:t>
      </w:r>
    </w:p>
  </w:footnote>
  <w:footnote w:id="22">
    <w:p w14:paraId="17B893D0" w14:textId="5EA956FF" w:rsidR="00CA5079" w:rsidRDefault="00CA5079" w:rsidP="003878EF">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Non-travel reimbursements are not required to be inspected under this category.</w:t>
      </w:r>
    </w:p>
    <w:p w14:paraId="217B505A" w14:textId="77777777" w:rsidR="006D3731" w:rsidRPr="00094945" w:rsidRDefault="006D3731" w:rsidP="003878EF">
      <w:pPr>
        <w:pStyle w:val="FootnoteText"/>
        <w:rPr>
          <w:rFonts w:ascii="Verdana" w:hAnsi="Verdana" w:cs="Times New Roman"/>
          <w:sz w:val="18"/>
          <w:szCs w:val="18"/>
        </w:rPr>
      </w:pPr>
    </w:p>
  </w:footnote>
  <w:footnote w:id="23">
    <w:p w14:paraId="32570EF1" w14:textId="1938A0C1" w:rsidR="00CA5079" w:rsidRPr="008B0939" w:rsidRDefault="00CA5079"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If the entity has adopted the state Procurement Code, replace “Louisiana Public Bid Law” </w:t>
      </w:r>
      <w:r>
        <w:rPr>
          <w:rFonts w:ascii="Verdana" w:hAnsi="Verdana" w:cs="Times New Roman"/>
          <w:sz w:val="18"/>
          <w:szCs w:val="18"/>
        </w:rPr>
        <w:t xml:space="preserve">(R.S. 38:2211 </w:t>
      </w:r>
      <w:r w:rsidRPr="00283AEE">
        <w:rPr>
          <w:rFonts w:ascii="Verdana" w:hAnsi="Verdana" w:cs="Times New Roman"/>
          <w:i/>
          <w:sz w:val="18"/>
          <w:szCs w:val="18"/>
        </w:rPr>
        <w:t>et seq</w:t>
      </w:r>
      <w:r>
        <w:rPr>
          <w:rFonts w:ascii="Verdana" w:hAnsi="Verdana" w:cs="Times New Roman"/>
          <w:sz w:val="18"/>
          <w:szCs w:val="18"/>
        </w:rPr>
        <w:t xml:space="preserve">) </w:t>
      </w:r>
      <w:r w:rsidRPr="00094945">
        <w:rPr>
          <w:rFonts w:ascii="Verdana" w:hAnsi="Verdana" w:cs="Times New Roman"/>
          <w:sz w:val="18"/>
          <w:szCs w:val="18"/>
        </w:rPr>
        <w:t>with “Louisiana Procurement Code.”</w:t>
      </w:r>
    </w:p>
  </w:footnote>
  <w:footnote w:id="24">
    <w:p w14:paraId="50E512A2"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“Officials” would include those elected, as well as board members who are appointed.</w:t>
      </w:r>
    </w:p>
  </w:footnote>
  <w:footnote w:id="25">
    <w:p w14:paraId="7F08BDF2" w14:textId="77777777" w:rsidR="00CA5079" w:rsidRPr="00797015" w:rsidRDefault="00CA5079" w:rsidP="00C5660E">
      <w:pPr>
        <w:pStyle w:val="FootnoteText"/>
        <w:rPr>
          <w:rFonts w:ascii="Times New Roman" w:hAnsi="Times New Roman" w:cs="Times New Roman"/>
          <w:sz w:val="16"/>
          <w:szCs w:val="16"/>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Generally, officials are not eligible to earn leave and do not document their attendance and leave. However, if the official is earning leave according to a policy and/or contract, the official should document his/her daily attendance and leave.</w:t>
      </w:r>
    </w:p>
  </w:footnote>
  <w:footnote w:id="26">
    <w:p w14:paraId="0D6BD8BD" w14:textId="12C64CC3" w:rsidR="00CA5079"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procedures should be performed.</w:t>
      </w:r>
    </w:p>
    <w:p w14:paraId="5C7B93EE" w14:textId="77777777" w:rsidR="006D3731" w:rsidRPr="00094945" w:rsidRDefault="006D3731" w:rsidP="00C5660E">
      <w:pPr>
        <w:pStyle w:val="FootnoteText"/>
        <w:rPr>
          <w:rFonts w:ascii="Verdana" w:hAnsi="Verdana" w:cs="Times New Roman"/>
          <w:sz w:val="18"/>
          <w:szCs w:val="18"/>
        </w:rPr>
      </w:pPr>
    </w:p>
  </w:footnote>
  <w:footnote w:id="27">
    <w:p w14:paraId="7D668CD2" w14:textId="77777777" w:rsidR="00CA5079" w:rsidRPr="00094945" w:rsidRDefault="00CA5079" w:rsidP="00C5660E">
      <w:pPr>
        <w:pStyle w:val="FootnoteText"/>
        <w:rPr>
          <w:rFonts w:ascii="Verdana" w:hAnsi="Verdana" w:cs="Times New Roman"/>
          <w:sz w:val="18"/>
          <w:szCs w:val="18"/>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 xml:space="preserve">This AUP category is generally not applicable to nonprofit entities. However, if applicable, the procedures should be performed. </w:t>
      </w:r>
    </w:p>
  </w:footnote>
  <w:footnote w:id="28">
    <w:p w14:paraId="62353D09" w14:textId="5AD08C54" w:rsidR="00CA5079" w:rsidRDefault="00CA5079"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Observation may be limited to those premises that are visited during the performance of other procedures under the AUPs</w:t>
      </w:r>
      <w:r>
        <w:rPr>
          <w:rFonts w:ascii="Verdana" w:hAnsi="Verdana" w:cs="Times New Roman"/>
          <w:sz w:val="18"/>
          <w:szCs w:val="18"/>
        </w:rPr>
        <w:t>.</w:t>
      </w:r>
      <w:r w:rsidRPr="00094945">
        <w:rPr>
          <w:rFonts w:ascii="Verdana" w:hAnsi="Verdana" w:cs="Times New Roman"/>
          <w:sz w:val="18"/>
          <w:szCs w:val="18"/>
        </w:rPr>
        <w:t xml:space="preserve"> </w:t>
      </w:r>
      <w:r>
        <w:rPr>
          <w:rFonts w:ascii="Verdana" w:hAnsi="Verdana" w:cs="Times New Roman"/>
          <w:sz w:val="18"/>
          <w:szCs w:val="18"/>
        </w:rPr>
        <w:t>T</w:t>
      </w:r>
      <w:r w:rsidRPr="00094945">
        <w:rPr>
          <w:rFonts w:ascii="Verdana" w:hAnsi="Verdana" w:cs="Times New Roman"/>
          <w:sz w:val="18"/>
          <w:szCs w:val="18"/>
        </w:rPr>
        <w:t xml:space="preserve">he notice is available for download at </w:t>
      </w:r>
      <w:hyperlink r:id="rId1" w:history="1">
        <w:r w:rsidRPr="00094945">
          <w:rPr>
            <w:rStyle w:val="Hyperlink"/>
            <w:rFonts w:ascii="Verdana" w:hAnsi="Verdana" w:cs="Times New Roman"/>
            <w:sz w:val="18"/>
            <w:szCs w:val="18"/>
          </w:rPr>
          <w:t>www.lla.la.gov/hotline</w:t>
        </w:r>
      </w:hyperlink>
      <w:r w:rsidRPr="00094945">
        <w:rPr>
          <w:rFonts w:ascii="Verdana" w:hAnsi="Verdana" w:cs="Times New Roman"/>
          <w:sz w:val="18"/>
          <w:szCs w:val="18"/>
        </w:rPr>
        <w:t xml:space="preserve"> </w:t>
      </w:r>
    </w:p>
    <w:p w14:paraId="0DA463F6" w14:textId="77777777" w:rsidR="006D3731" w:rsidRPr="00AF6D4E" w:rsidRDefault="006D3731" w:rsidP="00C5660E">
      <w:pPr>
        <w:pStyle w:val="FootnoteText"/>
        <w:rPr>
          <w:rFonts w:ascii="Times New Roman" w:hAnsi="Times New Roman" w:cs="Times New Roman"/>
        </w:rPr>
      </w:pPr>
    </w:p>
  </w:footnote>
  <w:footnote w:id="29">
    <w:p w14:paraId="0EFE639F" w14:textId="77777777" w:rsidR="00CA5079" w:rsidRDefault="00CA5079" w:rsidP="00824BE2">
      <w:pPr>
        <w:pStyle w:val="FootnoteText"/>
      </w:pPr>
      <w:r>
        <w:rPr>
          <w:rStyle w:val="FootnoteReference"/>
        </w:rPr>
        <w:footnoteRef/>
      </w:r>
      <w:r>
        <w:t xml:space="preserve"> </w:t>
      </w:r>
      <w:r w:rsidRPr="00357AEE">
        <w:rPr>
          <w:rFonts w:ascii="Verdana" w:hAnsi="Verdana" w:cs="Times New Roman"/>
          <w:sz w:val="18"/>
          <w:szCs w:val="18"/>
        </w:rPr>
        <w:t>While it appears to be a good practice for charter schools to ensure its employees are trained to keep their information technology assets safe from cyberattack, charter schools do not appear required to comply with 42:1267. An individual charter school, though, through specific provisions of its charter, may mandate that all employees/officials receive cybersecurity training.</w:t>
      </w:r>
    </w:p>
  </w:footnote>
  <w:footnote w:id="30">
    <w:p w14:paraId="2F738013" w14:textId="769B87FD" w:rsidR="00CA5079" w:rsidRDefault="00CA5079" w:rsidP="00C5660E">
      <w:pPr>
        <w:pStyle w:val="FootnoteText"/>
        <w:ind w:left="144" w:hanging="144"/>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7E50CE">
        <w:rPr>
          <w:rFonts w:ascii="Verdana" w:hAnsi="Verdana" w:cs="Times New Roman"/>
          <w:sz w:val="18"/>
          <w:szCs w:val="18"/>
        </w:rPr>
        <w:t>While it appears to be a good practice for charter schools to ensure it has policies and training for sexual harassment</w:t>
      </w:r>
      <w:r>
        <w:rPr>
          <w:rFonts w:ascii="Verdana" w:hAnsi="Verdana" w:cs="Times New Roman"/>
          <w:sz w:val="18"/>
          <w:szCs w:val="18"/>
        </w:rPr>
        <w:t>, c</w:t>
      </w:r>
      <w:r w:rsidRPr="007E50CE">
        <w:rPr>
          <w:rFonts w:ascii="Verdana" w:hAnsi="Verdana" w:cs="Times New Roman"/>
          <w:sz w:val="18"/>
          <w:szCs w:val="18"/>
        </w:rPr>
        <w:t>harter schools do not appear required to comply with the Prevention of Sexual Harassment Law (R.S. 42:341 et seq). An individual charter school, through the specific provisions of its charter, may</w:t>
      </w:r>
      <w:r w:rsidRPr="007E50CE">
        <w:t xml:space="preserve"> </w:t>
      </w:r>
      <w:r w:rsidRPr="007E50CE">
        <w:rPr>
          <w:rFonts w:ascii="Verdana" w:hAnsi="Verdana" w:cs="Times New Roman"/>
          <w:sz w:val="18"/>
          <w:szCs w:val="18"/>
        </w:rPr>
        <w:t>mandate sexual harassment training.</w:t>
      </w:r>
    </w:p>
    <w:p w14:paraId="47BCFAE2" w14:textId="77777777" w:rsidR="006D3731" w:rsidRPr="00094945" w:rsidRDefault="006D3731" w:rsidP="00C5660E">
      <w:pPr>
        <w:pStyle w:val="FootnoteText"/>
        <w:ind w:left="144" w:hanging="144"/>
        <w:rPr>
          <w:rFonts w:ascii="Verdana" w:hAnsi="Verdana" w:cs="Times New Roman"/>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CBC7" w14:textId="25597440" w:rsidR="00CA5079" w:rsidRPr="00CA0B1D" w:rsidRDefault="00CA5079" w:rsidP="00C4007D">
    <w:pPr>
      <w:pStyle w:val="Header"/>
      <w:tabs>
        <w:tab w:val="clear" w:pos="4680"/>
        <w:tab w:val="clear" w:pos="9360"/>
        <w:tab w:val="left" w:pos="2231"/>
      </w:tabs>
    </w:pPr>
    <w:r>
      <w:rPr>
        <w:noProof/>
      </w:rPr>
      <w:drawing>
        <wp:anchor distT="0" distB="0" distL="114300" distR="114300" simplePos="0" relativeHeight="251659264" behindDoc="1" locked="0" layoutInCell="1" allowOverlap="1" wp14:anchorId="1F27ECF9" wp14:editId="05E051BC">
          <wp:simplePos x="0" y="0"/>
          <wp:positionH relativeFrom="page">
            <wp:posOffset>-12879</wp:posOffset>
          </wp:positionH>
          <wp:positionV relativeFrom="paragraph">
            <wp:posOffset>-711557</wp:posOffset>
          </wp:positionV>
          <wp:extent cx="7787340" cy="10077733"/>
          <wp:effectExtent l="0" t="0" r="444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057C" w14:textId="2E09059E" w:rsidR="00CA5079" w:rsidRDefault="00CA50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D1BA" w14:textId="2B295AA3" w:rsidR="00CA5079" w:rsidRPr="00577B38" w:rsidRDefault="00CA5079" w:rsidP="00577B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084B" w14:textId="73CD8234" w:rsidR="00CA5079" w:rsidRDefault="00CA50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B1F5" w14:textId="0EC01A46" w:rsidR="00CA5079" w:rsidRDefault="00CA50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352E" w14:textId="7ABCA35A" w:rsidR="00CA5079" w:rsidRDefault="00CA5079" w:rsidP="007A7D97">
    <w:pPr>
      <w:pStyle w:val="PageHeader-Inside"/>
      <w:rPr>
        <w:rFonts w:ascii="Verdana" w:hAnsi="Verdana"/>
        <w:sz w:val="18"/>
        <w:szCs w:val="18"/>
      </w:rPr>
    </w:pPr>
    <w:r>
      <w:rPr>
        <w:rFonts w:ascii="Verdana" w:hAnsi="Verdana"/>
        <w:sz w:val="18"/>
        <w:szCs w:val="18"/>
      </w:rPr>
      <w:t>Statewide Agreed-Upon Procedures</w:t>
    </w:r>
  </w:p>
  <w:p w14:paraId="4D252503" w14:textId="40F460CA" w:rsidR="00CA5079" w:rsidRPr="007A7D97" w:rsidRDefault="00CA5079" w:rsidP="007A7D97">
    <w:pPr>
      <w:pStyle w:val="PageHeader-Inside"/>
      <w:rPr>
        <w:rFonts w:ascii="Verdana" w:hAnsi="Verdana"/>
        <w:sz w:val="18"/>
        <w:szCs w:val="18"/>
      </w:rPr>
    </w:pPr>
    <w:r>
      <w:rPr>
        <w:rFonts w:ascii="Verdana" w:hAnsi="Verdana"/>
        <w:sz w:val="18"/>
        <w:szCs w:val="18"/>
      </w:rPr>
      <w:t>Fiscal Years Beginning on or After January 1, 202</w:t>
    </w:r>
    <w:r w:rsidR="004B2D7B">
      <w:rPr>
        <w:rFonts w:ascii="Verdana" w:hAnsi="Verdana"/>
        <w:sz w:val="18"/>
        <w:szCs w:val="18"/>
      </w:rPr>
      <w:t>5</w:t>
    </w:r>
    <w:r w:rsidRPr="009469B0">
      <w:rPr>
        <w:rFonts w:ascii="Verdana" w:hAnsi="Verdana"/>
        <w:sz w:val="18"/>
        <w:szCs w:val="18"/>
      </w:rPr>
      <w:tab/>
    </w:r>
    <w:r>
      <w:rPr>
        <w:rFonts w:ascii="Verdana" w:hAnsi="Verdana"/>
        <w:sz w:val="18"/>
        <w:szCs w:val="18"/>
      </w:rPr>
      <w:t>Procedures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19C8" w14:textId="6C86E9B1" w:rsidR="00CA5079" w:rsidRDefault="00CA50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D60"/>
    <w:multiLevelType w:val="hybridMultilevel"/>
    <w:tmpl w:val="74EC067E"/>
    <w:lvl w:ilvl="0" w:tplc="EBE41468">
      <w:start w:val="1"/>
      <w:numFmt w:val="decimal"/>
      <w:lvlText w:val="%1."/>
      <w:lvlJc w:val="left"/>
      <w:pPr>
        <w:tabs>
          <w:tab w:val="num" w:pos="360"/>
        </w:tabs>
        <w:ind w:left="360" w:hanging="360"/>
      </w:pPr>
      <w:rPr>
        <w:b w:val="0"/>
        <w:i w:val="0"/>
      </w:rPr>
    </w:lvl>
    <w:lvl w:ilvl="1" w:tplc="9A84324A">
      <w:start w:val="1"/>
      <w:numFmt w:val="lowerRoman"/>
      <w:lvlText w:val="%2."/>
      <w:lvlJc w:val="right"/>
      <w:pPr>
        <w:tabs>
          <w:tab w:val="num" w:pos="936"/>
        </w:tabs>
        <w:ind w:left="720" w:hanging="14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765518"/>
    <w:multiLevelType w:val="hybridMultilevel"/>
    <w:tmpl w:val="DAFA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03B91"/>
    <w:multiLevelType w:val="hybridMultilevel"/>
    <w:tmpl w:val="B358E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329AE"/>
    <w:multiLevelType w:val="hybridMultilevel"/>
    <w:tmpl w:val="4550869A"/>
    <w:lvl w:ilvl="0" w:tplc="54584B0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C0296"/>
    <w:multiLevelType w:val="hybridMultilevel"/>
    <w:tmpl w:val="E6D8AFEA"/>
    <w:lvl w:ilvl="0" w:tplc="04090015">
      <w:start w:val="1"/>
      <w:numFmt w:val="upperLetter"/>
      <w:lvlText w:val="%1."/>
      <w:lvlJc w:val="left"/>
      <w:pPr>
        <w:tabs>
          <w:tab w:val="num" w:pos="360"/>
        </w:tabs>
        <w:ind w:left="360" w:hanging="360"/>
      </w:pPr>
      <w:rPr>
        <w:b w:val="0"/>
        <w:i w:val="0"/>
      </w:rPr>
    </w:lvl>
    <w:lvl w:ilvl="1" w:tplc="9A84324A">
      <w:start w:val="1"/>
      <w:numFmt w:val="lowerRoman"/>
      <w:lvlText w:val="%2."/>
      <w:lvlJc w:val="right"/>
      <w:pPr>
        <w:tabs>
          <w:tab w:val="num" w:pos="936"/>
        </w:tabs>
        <w:ind w:left="720" w:hanging="14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79C1ED7"/>
    <w:multiLevelType w:val="hybridMultilevel"/>
    <w:tmpl w:val="B2BC6868"/>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247A0A"/>
    <w:multiLevelType w:val="hybridMultilevel"/>
    <w:tmpl w:val="9956F69C"/>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170"/>
        </w:tabs>
        <w:ind w:left="1170" w:hanging="360"/>
      </w:pPr>
      <w:rPr>
        <w:rFonts w:ascii="Symbol" w:hAnsi="Symbol"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98A18FC"/>
    <w:multiLevelType w:val="hybridMultilevel"/>
    <w:tmpl w:val="585E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E6FC0"/>
    <w:multiLevelType w:val="hybridMultilevel"/>
    <w:tmpl w:val="BE4ABD3A"/>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B4E6E5D"/>
    <w:multiLevelType w:val="hybridMultilevel"/>
    <w:tmpl w:val="64F48052"/>
    <w:lvl w:ilvl="0" w:tplc="27F8CA1C">
      <w:start w:val="1"/>
      <w:numFmt w:val="decimal"/>
      <w:lvlText w:val="%1."/>
      <w:lvlJc w:val="left"/>
      <w:pPr>
        <w:tabs>
          <w:tab w:val="num" w:pos="720"/>
        </w:tabs>
        <w:ind w:left="720" w:hanging="360"/>
      </w:pPr>
      <w:rPr>
        <w:color w:val="auto"/>
      </w:rPr>
    </w:lvl>
    <w:lvl w:ilvl="1" w:tplc="58D8E75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BFC7F6F"/>
    <w:multiLevelType w:val="hybridMultilevel"/>
    <w:tmpl w:val="BA2E01BA"/>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3CF2238"/>
    <w:multiLevelType w:val="hybridMultilevel"/>
    <w:tmpl w:val="50B81746"/>
    <w:lvl w:ilvl="0" w:tplc="F2B80334">
      <w:start w:val="1"/>
      <w:numFmt w:val="lowerRoman"/>
      <w:lvlText w:val="%1."/>
      <w:lvlJc w:val="right"/>
      <w:pPr>
        <w:tabs>
          <w:tab w:val="num" w:pos="720"/>
        </w:tabs>
        <w:ind w:left="720" w:hanging="144"/>
      </w:pPr>
      <w:rPr>
        <w:rFonts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43E3297"/>
    <w:multiLevelType w:val="hybridMultilevel"/>
    <w:tmpl w:val="2AA0860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51E4D75"/>
    <w:multiLevelType w:val="hybridMultilevel"/>
    <w:tmpl w:val="687E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D06F9"/>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1936641A"/>
    <w:multiLevelType w:val="multilevel"/>
    <w:tmpl w:val="FBC6829E"/>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6" w15:restartNumberingAfterBreak="0">
    <w:nsid w:val="1B042197"/>
    <w:multiLevelType w:val="hybridMultilevel"/>
    <w:tmpl w:val="CD8882C8"/>
    <w:lvl w:ilvl="0" w:tplc="FB0EEE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E3545C"/>
    <w:multiLevelType w:val="hybridMultilevel"/>
    <w:tmpl w:val="1EB2F25E"/>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10023AF"/>
    <w:multiLevelType w:val="hybridMultilevel"/>
    <w:tmpl w:val="D070E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933EDA"/>
    <w:multiLevelType w:val="hybridMultilevel"/>
    <w:tmpl w:val="86B427C2"/>
    <w:lvl w:ilvl="0" w:tplc="CF8E1406">
      <w:start w:val="8"/>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22716F0E"/>
    <w:multiLevelType w:val="hybridMultilevel"/>
    <w:tmpl w:val="7ACAF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9B59D3"/>
    <w:multiLevelType w:val="hybridMultilevel"/>
    <w:tmpl w:val="D21AE886"/>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2E55F9B"/>
    <w:multiLevelType w:val="hybridMultilevel"/>
    <w:tmpl w:val="15FCD9B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3AB02AA"/>
    <w:multiLevelType w:val="hybridMultilevel"/>
    <w:tmpl w:val="F93E74CC"/>
    <w:lvl w:ilvl="0" w:tplc="32BCC08A">
      <w:start w:val="14"/>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4" w15:restartNumberingAfterBreak="0">
    <w:nsid w:val="242A1125"/>
    <w:multiLevelType w:val="hybridMultilevel"/>
    <w:tmpl w:val="B336D4C2"/>
    <w:lvl w:ilvl="0" w:tplc="0409000B">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5" w15:restartNumberingAfterBreak="0">
    <w:nsid w:val="2462076D"/>
    <w:multiLevelType w:val="hybridMultilevel"/>
    <w:tmpl w:val="0608B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D11A8C"/>
    <w:multiLevelType w:val="hybridMultilevel"/>
    <w:tmpl w:val="C368F7B0"/>
    <w:lvl w:ilvl="0" w:tplc="04090015">
      <w:start w:val="1"/>
      <w:numFmt w:val="upperLetter"/>
      <w:lvlText w:val="%1."/>
      <w:lvlJc w:val="left"/>
      <w:pPr>
        <w:tabs>
          <w:tab w:val="num" w:pos="360"/>
        </w:tabs>
        <w:ind w:left="360" w:hanging="360"/>
      </w:pPr>
      <w:rPr>
        <w:rFonts w:hint="default"/>
        <w:b w:val="0"/>
        <w:i w:val="0"/>
        <w:color w:val="auto"/>
      </w:rPr>
    </w:lvl>
    <w:lvl w:ilvl="1" w:tplc="28CA275C">
      <w:start w:val="1"/>
      <w:numFmt w:val="lowerRoman"/>
      <w:lvlText w:val="%2."/>
      <w:lvlJc w:val="right"/>
      <w:pPr>
        <w:ind w:left="720" w:hanging="144"/>
      </w:pPr>
      <w:rPr>
        <w:rFonts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26135E28"/>
    <w:multiLevelType w:val="hybridMultilevel"/>
    <w:tmpl w:val="DB084392"/>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2724480C"/>
    <w:multiLevelType w:val="hybridMultilevel"/>
    <w:tmpl w:val="848A1380"/>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AE837CA"/>
    <w:multiLevelType w:val="hybridMultilevel"/>
    <w:tmpl w:val="60DA0E7E"/>
    <w:lvl w:ilvl="0" w:tplc="04090015">
      <w:start w:val="1"/>
      <w:numFmt w:val="upperLetter"/>
      <w:lvlText w:val="%1."/>
      <w:lvlJc w:val="left"/>
      <w:pPr>
        <w:tabs>
          <w:tab w:val="num" w:pos="360"/>
        </w:tabs>
        <w:ind w:left="360" w:hanging="360"/>
      </w:pPr>
      <w:rPr>
        <w:rFonts w:hint="default"/>
        <w:b w:val="0"/>
        <w:i w:val="0"/>
      </w:rPr>
    </w:lvl>
    <w:lvl w:ilvl="1" w:tplc="5A04E0B6">
      <w:start w:val="1"/>
      <w:numFmt w:val="lowerRoman"/>
      <w:lvlText w:val="%2."/>
      <w:lvlJc w:val="right"/>
      <w:pPr>
        <w:ind w:left="792" w:hanging="216"/>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B482431"/>
    <w:multiLevelType w:val="hybridMultilevel"/>
    <w:tmpl w:val="3BE6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6209BA"/>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15:restartNumberingAfterBreak="0">
    <w:nsid w:val="2B9C3730"/>
    <w:multiLevelType w:val="hybridMultilevel"/>
    <w:tmpl w:val="B516845A"/>
    <w:lvl w:ilvl="0" w:tplc="A9024A6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8F4D0F"/>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15:restartNumberingAfterBreak="0">
    <w:nsid w:val="2F591F62"/>
    <w:multiLevelType w:val="hybridMultilevel"/>
    <w:tmpl w:val="4DF07E1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170"/>
        </w:tabs>
        <w:ind w:left="1170" w:hanging="360"/>
      </w:pPr>
      <w:rPr>
        <w:rFonts w:ascii="Wingdings" w:hAnsi="Wingdings"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31913BD3"/>
    <w:multiLevelType w:val="hybridMultilevel"/>
    <w:tmpl w:val="90B05C84"/>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469604B"/>
    <w:multiLevelType w:val="hybridMultilevel"/>
    <w:tmpl w:val="0CAA397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244E1294">
      <w:start w:val="3"/>
      <w:numFmt w:val="lowerRoman"/>
      <w:lvlText w:val="%3."/>
      <w:lvlJc w:val="right"/>
      <w:pPr>
        <w:tabs>
          <w:tab w:val="num" w:pos="810"/>
        </w:tabs>
        <w:ind w:left="81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15:restartNumberingAfterBreak="0">
    <w:nsid w:val="355667E2"/>
    <w:multiLevelType w:val="hybridMultilevel"/>
    <w:tmpl w:val="442E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E46086"/>
    <w:multiLevelType w:val="hybridMultilevel"/>
    <w:tmpl w:val="3606CFE4"/>
    <w:lvl w:ilvl="0" w:tplc="5DF4DCE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95822EB"/>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0" w15:restartNumberingAfterBreak="0">
    <w:nsid w:val="3A412123"/>
    <w:multiLevelType w:val="hybridMultilevel"/>
    <w:tmpl w:val="C92AD8A6"/>
    <w:lvl w:ilvl="0" w:tplc="EBE41468">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3D2A302B"/>
    <w:multiLevelType w:val="hybridMultilevel"/>
    <w:tmpl w:val="7D243E42"/>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D33041D"/>
    <w:multiLevelType w:val="hybridMultilevel"/>
    <w:tmpl w:val="112ADB6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3EC963B0"/>
    <w:multiLevelType w:val="hybridMultilevel"/>
    <w:tmpl w:val="4DC26562"/>
    <w:lvl w:ilvl="0" w:tplc="1E8E9E38">
      <w:start w:val="1"/>
      <w:numFmt w:val="lowerRoman"/>
      <w:lvlText w:val="%1."/>
      <w:lvlJc w:val="right"/>
      <w:pPr>
        <w:tabs>
          <w:tab w:val="num" w:pos="1080"/>
        </w:tabs>
        <w:ind w:left="720" w:hanging="144"/>
      </w:pPr>
      <w:rPr>
        <w:rFonts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F9A2D30"/>
    <w:multiLevelType w:val="hybridMultilevel"/>
    <w:tmpl w:val="3FA4DFC4"/>
    <w:lvl w:ilvl="0" w:tplc="947E3AA6">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016530F"/>
    <w:multiLevelType w:val="multilevel"/>
    <w:tmpl w:val="41444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E93DEF"/>
    <w:multiLevelType w:val="hybridMultilevel"/>
    <w:tmpl w:val="EE8AD6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CE0FF86">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2423180"/>
    <w:multiLevelType w:val="hybridMultilevel"/>
    <w:tmpl w:val="C0CE332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B">
      <w:start w:val="1"/>
      <w:numFmt w:val="bullet"/>
      <w:lvlText w:val=""/>
      <w:lvlJc w:val="left"/>
      <w:pPr>
        <w:tabs>
          <w:tab w:val="num" w:pos="810"/>
        </w:tabs>
        <w:ind w:left="81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8" w15:restartNumberingAfterBreak="0">
    <w:nsid w:val="42F742A8"/>
    <w:multiLevelType w:val="hybridMultilevel"/>
    <w:tmpl w:val="F7C86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36C3889"/>
    <w:multiLevelType w:val="hybridMultilevel"/>
    <w:tmpl w:val="227C52CC"/>
    <w:lvl w:ilvl="0" w:tplc="02560D98">
      <w:start w:val="1"/>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64459E7"/>
    <w:multiLevelType w:val="hybridMultilevel"/>
    <w:tmpl w:val="1982D3FC"/>
    <w:lvl w:ilvl="0" w:tplc="21F29F2E">
      <w:start w:val="3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47375393"/>
    <w:multiLevelType w:val="hybridMultilevel"/>
    <w:tmpl w:val="09F2CFF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86F041F"/>
    <w:multiLevelType w:val="hybridMultilevel"/>
    <w:tmpl w:val="85822AE8"/>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9AA44D9"/>
    <w:multiLevelType w:val="hybridMultilevel"/>
    <w:tmpl w:val="1CCE8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F9190B"/>
    <w:multiLevelType w:val="hybridMultilevel"/>
    <w:tmpl w:val="6212BB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945B5D"/>
    <w:multiLevelType w:val="hybridMultilevel"/>
    <w:tmpl w:val="72EC5FEC"/>
    <w:lvl w:ilvl="0" w:tplc="9A84324A">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972F6F"/>
    <w:multiLevelType w:val="hybridMultilevel"/>
    <w:tmpl w:val="F5043AAA"/>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0296E22"/>
    <w:multiLevelType w:val="hybridMultilevel"/>
    <w:tmpl w:val="7C6E23DA"/>
    <w:lvl w:ilvl="0" w:tplc="04090017">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8" w15:restartNumberingAfterBreak="0">
    <w:nsid w:val="51766CC7"/>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9" w15:restartNumberingAfterBreak="0">
    <w:nsid w:val="568D2223"/>
    <w:multiLevelType w:val="hybridMultilevel"/>
    <w:tmpl w:val="6FF8DD0E"/>
    <w:lvl w:ilvl="0" w:tplc="8DB4BC4E">
      <w:start w:val="1"/>
      <w:numFmt w:val="lowerRoman"/>
      <w:lvlText w:val="%1."/>
      <w:lvlJc w:val="right"/>
      <w:pPr>
        <w:tabs>
          <w:tab w:val="num" w:pos="1440"/>
        </w:tabs>
        <w:ind w:left="720" w:hanging="144"/>
      </w:pPr>
      <w:rPr>
        <w:rFont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0" w15:restartNumberingAfterBreak="0">
    <w:nsid w:val="57BD39A7"/>
    <w:multiLevelType w:val="hybridMultilevel"/>
    <w:tmpl w:val="977A8EE0"/>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BC00E01"/>
    <w:multiLevelType w:val="hybridMultilevel"/>
    <w:tmpl w:val="D6EC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4448CB"/>
    <w:multiLevelType w:val="hybridMultilevel"/>
    <w:tmpl w:val="2E385E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656A5ABE"/>
    <w:multiLevelType w:val="hybridMultilevel"/>
    <w:tmpl w:val="A27603EE"/>
    <w:lvl w:ilvl="0" w:tplc="37BA3438">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6F340F9"/>
    <w:multiLevelType w:val="hybridMultilevel"/>
    <w:tmpl w:val="FD3A1DD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742605"/>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15:restartNumberingAfterBreak="0">
    <w:nsid w:val="683330F8"/>
    <w:multiLevelType w:val="hybridMultilevel"/>
    <w:tmpl w:val="663EEF8C"/>
    <w:lvl w:ilvl="0" w:tplc="6532A744">
      <w:start w:val="17"/>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15:restartNumberingAfterBreak="0">
    <w:nsid w:val="69467DB4"/>
    <w:multiLevelType w:val="hybridMultilevel"/>
    <w:tmpl w:val="2BFCB4C8"/>
    <w:lvl w:ilvl="0" w:tplc="8B42C8DC">
      <w:start w:val="5"/>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15:restartNumberingAfterBreak="0">
    <w:nsid w:val="69D01C37"/>
    <w:multiLevelType w:val="hybridMultilevel"/>
    <w:tmpl w:val="2E9433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6A383D95"/>
    <w:multiLevelType w:val="hybridMultilevel"/>
    <w:tmpl w:val="55EA589A"/>
    <w:lvl w:ilvl="0" w:tplc="434657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1B76A9"/>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1" w15:restartNumberingAfterBreak="0">
    <w:nsid w:val="6D1F12AD"/>
    <w:multiLevelType w:val="hybridMultilevel"/>
    <w:tmpl w:val="D2243988"/>
    <w:lvl w:ilvl="0" w:tplc="9432D84E">
      <w:start w:val="20"/>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2" w15:restartNumberingAfterBreak="0">
    <w:nsid w:val="6D604AA8"/>
    <w:multiLevelType w:val="hybridMultilevel"/>
    <w:tmpl w:val="AC1418F0"/>
    <w:lvl w:ilvl="0" w:tplc="04090015">
      <w:start w:val="1"/>
      <w:numFmt w:val="upperLetter"/>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E1D10DF"/>
    <w:multiLevelType w:val="hybridMultilevel"/>
    <w:tmpl w:val="0CD0D992"/>
    <w:lvl w:ilvl="0" w:tplc="2C7AC772">
      <w:start w:val="1"/>
      <w:numFmt w:val="lowerRoman"/>
      <w:lvlText w:val="%1."/>
      <w:lvlJc w:val="right"/>
      <w:pPr>
        <w:tabs>
          <w:tab w:val="num" w:pos="720"/>
        </w:tabs>
        <w:ind w:left="720" w:hanging="14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732AF4"/>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15:restartNumberingAfterBreak="0">
    <w:nsid w:val="718724E3"/>
    <w:multiLevelType w:val="hybridMultilevel"/>
    <w:tmpl w:val="955A2A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C303CE"/>
    <w:multiLevelType w:val="hybridMultilevel"/>
    <w:tmpl w:val="36721F5E"/>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7" w15:restartNumberingAfterBreak="0">
    <w:nsid w:val="775F5A6F"/>
    <w:multiLevelType w:val="hybridMultilevel"/>
    <w:tmpl w:val="54B61CBC"/>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7971EF8"/>
    <w:multiLevelType w:val="hybridMultilevel"/>
    <w:tmpl w:val="568CB5E6"/>
    <w:lvl w:ilvl="0" w:tplc="7AA8EF5C">
      <w:start w:val="4"/>
      <w:numFmt w:val="lowerRoman"/>
      <w:lvlText w:val="%1."/>
      <w:lvlJc w:val="right"/>
      <w:pPr>
        <w:ind w:left="1445" w:hanging="360"/>
      </w:pPr>
      <w:rPr>
        <w:rFonts w:hint="default"/>
      </w:r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79" w15:restartNumberingAfterBreak="0">
    <w:nsid w:val="795E6289"/>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7AD522F5"/>
    <w:multiLevelType w:val="hybridMultilevel"/>
    <w:tmpl w:val="CE5AECE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1" w15:restartNumberingAfterBreak="0">
    <w:nsid w:val="7BD74CDA"/>
    <w:multiLevelType w:val="hybridMultilevel"/>
    <w:tmpl w:val="02AAB532"/>
    <w:lvl w:ilvl="0" w:tplc="4D541604">
      <w:start w:val="5"/>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DDB1287"/>
    <w:multiLevelType w:val="hybridMultilevel"/>
    <w:tmpl w:val="A06E2122"/>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3" w15:restartNumberingAfterBreak="0">
    <w:nsid w:val="7F3B6170"/>
    <w:multiLevelType w:val="hybridMultilevel"/>
    <w:tmpl w:val="8A0A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B4771A"/>
    <w:multiLevelType w:val="hybridMultilevel"/>
    <w:tmpl w:val="F60AA090"/>
    <w:lvl w:ilvl="0" w:tplc="E48A374E">
      <w:start w:val="1"/>
      <w:numFmt w:val="lowerRoman"/>
      <w:lvlText w:val="%1."/>
      <w:lvlJc w:val="right"/>
      <w:pPr>
        <w:ind w:left="720"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6"/>
  </w:num>
  <w:num w:numId="3">
    <w:abstractNumId w:val="43"/>
  </w:num>
  <w:num w:numId="4">
    <w:abstractNumId w:val="72"/>
  </w:num>
  <w:num w:numId="5">
    <w:abstractNumId w:val="21"/>
  </w:num>
  <w:num w:numId="6">
    <w:abstractNumId w:val="62"/>
  </w:num>
  <w:num w:numId="7">
    <w:abstractNumId w:val="10"/>
  </w:num>
  <w:num w:numId="8">
    <w:abstractNumId w:val="47"/>
  </w:num>
  <w:num w:numId="9">
    <w:abstractNumId w:val="59"/>
  </w:num>
  <w:num w:numId="10">
    <w:abstractNumId w:val="36"/>
  </w:num>
  <w:num w:numId="11">
    <w:abstractNumId w:val="80"/>
  </w:num>
  <w:num w:numId="12">
    <w:abstractNumId w:val="57"/>
  </w:num>
  <w:num w:numId="13">
    <w:abstractNumId w:val="44"/>
  </w:num>
  <w:num w:numId="14">
    <w:abstractNumId w:val="23"/>
  </w:num>
  <w:num w:numId="15">
    <w:abstractNumId w:val="64"/>
  </w:num>
  <w:num w:numId="16">
    <w:abstractNumId w:val="12"/>
  </w:num>
  <w:num w:numId="17">
    <w:abstractNumId w:val="66"/>
  </w:num>
  <w:num w:numId="18">
    <w:abstractNumId w:val="51"/>
  </w:num>
  <w:num w:numId="19">
    <w:abstractNumId w:val="79"/>
  </w:num>
  <w:num w:numId="20">
    <w:abstractNumId w:val="50"/>
  </w:num>
  <w:num w:numId="21">
    <w:abstractNumId w:val="71"/>
  </w:num>
  <w:num w:numId="22">
    <w:abstractNumId w:val="35"/>
  </w:num>
  <w:num w:numId="23">
    <w:abstractNumId w:val="67"/>
  </w:num>
  <w:num w:numId="24">
    <w:abstractNumId w:val="68"/>
  </w:num>
  <w:num w:numId="25">
    <w:abstractNumId w:val="34"/>
  </w:num>
  <w:num w:numId="26">
    <w:abstractNumId w:val="11"/>
  </w:num>
  <w:num w:numId="27">
    <w:abstractNumId w:val="8"/>
  </w:num>
  <w:num w:numId="28">
    <w:abstractNumId w:val="74"/>
  </w:num>
  <w:num w:numId="29">
    <w:abstractNumId w:val="25"/>
  </w:num>
  <w:num w:numId="30">
    <w:abstractNumId w:val="28"/>
  </w:num>
  <w:num w:numId="31">
    <w:abstractNumId w:val="84"/>
  </w:num>
  <w:num w:numId="32">
    <w:abstractNumId w:val="26"/>
  </w:num>
  <w:num w:numId="33">
    <w:abstractNumId w:val="73"/>
  </w:num>
  <w:num w:numId="34">
    <w:abstractNumId w:val="61"/>
  </w:num>
  <w:num w:numId="35">
    <w:abstractNumId w:val="6"/>
  </w:num>
  <w:num w:numId="36">
    <w:abstractNumId w:val="63"/>
  </w:num>
  <w:num w:numId="37">
    <w:abstractNumId w:val="5"/>
  </w:num>
  <w:num w:numId="38">
    <w:abstractNumId w:val="38"/>
  </w:num>
  <w:num w:numId="39">
    <w:abstractNumId w:val="24"/>
  </w:num>
  <w:num w:numId="40">
    <w:abstractNumId w:val="13"/>
  </w:num>
  <w:num w:numId="41">
    <w:abstractNumId w:val="37"/>
  </w:num>
  <w:num w:numId="42">
    <w:abstractNumId w:val="60"/>
  </w:num>
  <w:num w:numId="43">
    <w:abstractNumId w:val="19"/>
  </w:num>
  <w:num w:numId="44">
    <w:abstractNumId w:val="3"/>
  </w:num>
  <w:num w:numId="45">
    <w:abstractNumId w:val="2"/>
  </w:num>
  <w:num w:numId="46">
    <w:abstractNumId w:val="40"/>
  </w:num>
  <w:num w:numId="47">
    <w:abstractNumId w:val="0"/>
  </w:num>
  <w:num w:numId="48">
    <w:abstractNumId w:val="29"/>
  </w:num>
  <w:num w:numId="49">
    <w:abstractNumId w:val="1"/>
  </w:num>
  <w:num w:numId="50">
    <w:abstractNumId w:val="16"/>
  </w:num>
  <w:num w:numId="51">
    <w:abstractNumId w:val="53"/>
  </w:num>
  <w:num w:numId="52">
    <w:abstractNumId w:val="69"/>
  </w:num>
  <w:num w:numId="53">
    <w:abstractNumId w:val="76"/>
  </w:num>
  <w:num w:numId="54">
    <w:abstractNumId w:val="70"/>
  </w:num>
  <w:num w:numId="55">
    <w:abstractNumId w:val="31"/>
  </w:num>
  <w:num w:numId="56">
    <w:abstractNumId w:val="33"/>
  </w:num>
  <w:num w:numId="57">
    <w:abstractNumId w:val="65"/>
  </w:num>
  <w:num w:numId="58">
    <w:abstractNumId w:val="14"/>
  </w:num>
  <w:num w:numId="59">
    <w:abstractNumId w:val="82"/>
  </w:num>
  <w:num w:numId="60">
    <w:abstractNumId w:val="17"/>
  </w:num>
  <w:num w:numId="61">
    <w:abstractNumId w:val="42"/>
  </w:num>
  <w:num w:numId="62">
    <w:abstractNumId w:val="27"/>
  </w:num>
  <w:num w:numId="63">
    <w:abstractNumId w:val="22"/>
  </w:num>
  <w:num w:numId="64">
    <w:abstractNumId w:val="41"/>
  </w:num>
  <w:num w:numId="65">
    <w:abstractNumId w:val="52"/>
  </w:num>
  <w:num w:numId="66">
    <w:abstractNumId w:val="56"/>
  </w:num>
  <w:num w:numId="67">
    <w:abstractNumId w:val="77"/>
  </w:num>
  <w:num w:numId="68">
    <w:abstractNumId w:val="55"/>
  </w:num>
  <w:num w:numId="69">
    <w:abstractNumId w:val="39"/>
  </w:num>
  <w:num w:numId="70">
    <w:abstractNumId w:val="58"/>
  </w:num>
  <w:num w:numId="71">
    <w:abstractNumId w:val="20"/>
  </w:num>
  <w:num w:numId="72">
    <w:abstractNumId w:val="49"/>
  </w:num>
  <w:num w:numId="73">
    <w:abstractNumId w:val="81"/>
  </w:num>
  <w:num w:numId="74">
    <w:abstractNumId w:val="78"/>
  </w:num>
  <w:num w:numId="75">
    <w:abstractNumId w:val="30"/>
  </w:num>
  <w:num w:numId="76">
    <w:abstractNumId w:val="32"/>
  </w:num>
  <w:num w:numId="77">
    <w:abstractNumId w:val="4"/>
  </w:num>
  <w:num w:numId="78">
    <w:abstractNumId w:val="15"/>
  </w:num>
  <w:num w:numId="79">
    <w:abstractNumId w:val="45"/>
  </w:num>
  <w:num w:numId="80">
    <w:abstractNumId w:val="54"/>
  </w:num>
  <w:num w:numId="81">
    <w:abstractNumId w:val="18"/>
  </w:num>
  <w:num w:numId="82">
    <w:abstractNumId w:val="83"/>
  </w:num>
  <w:num w:numId="83">
    <w:abstractNumId w:val="7"/>
  </w:num>
  <w:num w:numId="84">
    <w:abstractNumId w:val="75"/>
  </w:num>
  <w:num w:numId="85">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C09"/>
    <w:rsid w:val="000052E0"/>
    <w:rsid w:val="000077F5"/>
    <w:rsid w:val="000113E9"/>
    <w:rsid w:val="00012F1D"/>
    <w:rsid w:val="000139F2"/>
    <w:rsid w:val="00013BAF"/>
    <w:rsid w:val="0001448D"/>
    <w:rsid w:val="00014AA5"/>
    <w:rsid w:val="00014B6D"/>
    <w:rsid w:val="000152FD"/>
    <w:rsid w:val="000209C0"/>
    <w:rsid w:val="000213E1"/>
    <w:rsid w:val="00021626"/>
    <w:rsid w:val="00023AF8"/>
    <w:rsid w:val="000246B7"/>
    <w:rsid w:val="00024F0D"/>
    <w:rsid w:val="00027667"/>
    <w:rsid w:val="00027871"/>
    <w:rsid w:val="00032942"/>
    <w:rsid w:val="000335EB"/>
    <w:rsid w:val="0003432E"/>
    <w:rsid w:val="00037856"/>
    <w:rsid w:val="00040061"/>
    <w:rsid w:val="000414DB"/>
    <w:rsid w:val="00044745"/>
    <w:rsid w:val="000447BE"/>
    <w:rsid w:val="00044BC0"/>
    <w:rsid w:val="00044F11"/>
    <w:rsid w:val="00045251"/>
    <w:rsid w:val="00045882"/>
    <w:rsid w:val="00045A66"/>
    <w:rsid w:val="00045CFE"/>
    <w:rsid w:val="0005023F"/>
    <w:rsid w:val="00050483"/>
    <w:rsid w:val="000520A7"/>
    <w:rsid w:val="00053398"/>
    <w:rsid w:val="0006204B"/>
    <w:rsid w:val="000641C6"/>
    <w:rsid w:val="0007118A"/>
    <w:rsid w:val="0007377F"/>
    <w:rsid w:val="00074446"/>
    <w:rsid w:val="00074C0E"/>
    <w:rsid w:val="00074E17"/>
    <w:rsid w:val="00080501"/>
    <w:rsid w:val="000833B1"/>
    <w:rsid w:val="00084623"/>
    <w:rsid w:val="00085B05"/>
    <w:rsid w:val="000905B3"/>
    <w:rsid w:val="00091088"/>
    <w:rsid w:val="0009149A"/>
    <w:rsid w:val="00092367"/>
    <w:rsid w:val="00094945"/>
    <w:rsid w:val="00096C77"/>
    <w:rsid w:val="000A1511"/>
    <w:rsid w:val="000A15A5"/>
    <w:rsid w:val="000A1C74"/>
    <w:rsid w:val="000B0233"/>
    <w:rsid w:val="000B20BA"/>
    <w:rsid w:val="000B2663"/>
    <w:rsid w:val="000B7B0D"/>
    <w:rsid w:val="000C0544"/>
    <w:rsid w:val="000C0840"/>
    <w:rsid w:val="000C3D25"/>
    <w:rsid w:val="000C4DF8"/>
    <w:rsid w:val="000C52C8"/>
    <w:rsid w:val="000C58A7"/>
    <w:rsid w:val="000D3BBC"/>
    <w:rsid w:val="000D4733"/>
    <w:rsid w:val="000D5B24"/>
    <w:rsid w:val="000D7CA5"/>
    <w:rsid w:val="000E0261"/>
    <w:rsid w:val="000E1194"/>
    <w:rsid w:val="000E1CFA"/>
    <w:rsid w:val="000E675B"/>
    <w:rsid w:val="000E7A10"/>
    <w:rsid w:val="000F2B63"/>
    <w:rsid w:val="000F5F61"/>
    <w:rsid w:val="000F6350"/>
    <w:rsid w:val="000F7761"/>
    <w:rsid w:val="000F7B24"/>
    <w:rsid w:val="00104EE8"/>
    <w:rsid w:val="00106091"/>
    <w:rsid w:val="00106AF2"/>
    <w:rsid w:val="00106C0D"/>
    <w:rsid w:val="001104CC"/>
    <w:rsid w:val="00112C09"/>
    <w:rsid w:val="00113BA7"/>
    <w:rsid w:val="00114F79"/>
    <w:rsid w:val="00116ACC"/>
    <w:rsid w:val="00120EA9"/>
    <w:rsid w:val="00122CCE"/>
    <w:rsid w:val="00123E29"/>
    <w:rsid w:val="00124846"/>
    <w:rsid w:val="00127DDF"/>
    <w:rsid w:val="001309C8"/>
    <w:rsid w:val="00132A12"/>
    <w:rsid w:val="00132BBC"/>
    <w:rsid w:val="00132C52"/>
    <w:rsid w:val="001338F5"/>
    <w:rsid w:val="00133A56"/>
    <w:rsid w:val="00134ACA"/>
    <w:rsid w:val="0013510F"/>
    <w:rsid w:val="001359BF"/>
    <w:rsid w:val="00137683"/>
    <w:rsid w:val="00137FEC"/>
    <w:rsid w:val="00140694"/>
    <w:rsid w:val="00141FA6"/>
    <w:rsid w:val="001421A8"/>
    <w:rsid w:val="001454A4"/>
    <w:rsid w:val="0014781A"/>
    <w:rsid w:val="00150CFC"/>
    <w:rsid w:val="001515C7"/>
    <w:rsid w:val="001518BB"/>
    <w:rsid w:val="00156DE8"/>
    <w:rsid w:val="00157407"/>
    <w:rsid w:val="00157DED"/>
    <w:rsid w:val="00161C27"/>
    <w:rsid w:val="001627D5"/>
    <w:rsid w:val="001652BB"/>
    <w:rsid w:val="00165EA8"/>
    <w:rsid w:val="00167C21"/>
    <w:rsid w:val="00170E9A"/>
    <w:rsid w:val="00171511"/>
    <w:rsid w:val="00171F23"/>
    <w:rsid w:val="001728B9"/>
    <w:rsid w:val="00174E1F"/>
    <w:rsid w:val="00175E7A"/>
    <w:rsid w:val="00177882"/>
    <w:rsid w:val="00180FE2"/>
    <w:rsid w:val="0018411F"/>
    <w:rsid w:val="001845EE"/>
    <w:rsid w:val="00184AF4"/>
    <w:rsid w:val="001908C2"/>
    <w:rsid w:val="00190D8F"/>
    <w:rsid w:val="001914FA"/>
    <w:rsid w:val="0019247F"/>
    <w:rsid w:val="00193262"/>
    <w:rsid w:val="001934AF"/>
    <w:rsid w:val="00193752"/>
    <w:rsid w:val="00193E61"/>
    <w:rsid w:val="001951EE"/>
    <w:rsid w:val="00197778"/>
    <w:rsid w:val="001A0830"/>
    <w:rsid w:val="001A0C6B"/>
    <w:rsid w:val="001A5B80"/>
    <w:rsid w:val="001A69A8"/>
    <w:rsid w:val="001B07AE"/>
    <w:rsid w:val="001B10F3"/>
    <w:rsid w:val="001B34D2"/>
    <w:rsid w:val="001B4CAC"/>
    <w:rsid w:val="001B5897"/>
    <w:rsid w:val="001B5F73"/>
    <w:rsid w:val="001B7E0D"/>
    <w:rsid w:val="001C40B6"/>
    <w:rsid w:val="001C44E8"/>
    <w:rsid w:val="001C45C2"/>
    <w:rsid w:val="001C5AFA"/>
    <w:rsid w:val="001C6B55"/>
    <w:rsid w:val="001C75F0"/>
    <w:rsid w:val="001C7D13"/>
    <w:rsid w:val="001D2803"/>
    <w:rsid w:val="001D50CE"/>
    <w:rsid w:val="001D65C0"/>
    <w:rsid w:val="001E2BB4"/>
    <w:rsid w:val="001E5B44"/>
    <w:rsid w:val="001E76F2"/>
    <w:rsid w:val="001F0E6E"/>
    <w:rsid w:val="001F2059"/>
    <w:rsid w:val="001F2870"/>
    <w:rsid w:val="001F332F"/>
    <w:rsid w:val="001F452A"/>
    <w:rsid w:val="001F4CC6"/>
    <w:rsid w:val="001F7C1C"/>
    <w:rsid w:val="001F7F07"/>
    <w:rsid w:val="001F7FD3"/>
    <w:rsid w:val="00204534"/>
    <w:rsid w:val="002060D0"/>
    <w:rsid w:val="002066AE"/>
    <w:rsid w:val="00210017"/>
    <w:rsid w:val="00211957"/>
    <w:rsid w:val="00211F85"/>
    <w:rsid w:val="00214718"/>
    <w:rsid w:val="00216CC0"/>
    <w:rsid w:val="00221932"/>
    <w:rsid w:val="00221C71"/>
    <w:rsid w:val="0022226C"/>
    <w:rsid w:val="00222B1A"/>
    <w:rsid w:val="00222B99"/>
    <w:rsid w:val="00223280"/>
    <w:rsid w:val="00223542"/>
    <w:rsid w:val="00223C6C"/>
    <w:rsid w:val="002269AC"/>
    <w:rsid w:val="00227127"/>
    <w:rsid w:val="00230F9C"/>
    <w:rsid w:val="002313E5"/>
    <w:rsid w:val="00231F20"/>
    <w:rsid w:val="00232A36"/>
    <w:rsid w:val="00233A26"/>
    <w:rsid w:val="00234093"/>
    <w:rsid w:val="00234396"/>
    <w:rsid w:val="00234884"/>
    <w:rsid w:val="00234F0A"/>
    <w:rsid w:val="0023638F"/>
    <w:rsid w:val="00236E56"/>
    <w:rsid w:val="00237A2C"/>
    <w:rsid w:val="002467C2"/>
    <w:rsid w:val="00246C76"/>
    <w:rsid w:val="00246F35"/>
    <w:rsid w:val="00252B0D"/>
    <w:rsid w:val="00253B69"/>
    <w:rsid w:val="00254A13"/>
    <w:rsid w:val="00257199"/>
    <w:rsid w:val="00260139"/>
    <w:rsid w:val="00261601"/>
    <w:rsid w:val="00263767"/>
    <w:rsid w:val="00264308"/>
    <w:rsid w:val="00265C61"/>
    <w:rsid w:val="00267B77"/>
    <w:rsid w:val="00270290"/>
    <w:rsid w:val="002717CE"/>
    <w:rsid w:val="002733E5"/>
    <w:rsid w:val="00274BB5"/>
    <w:rsid w:val="002802FA"/>
    <w:rsid w:val="00281E36"/>
    <w:rsid w:val="00283A93"/>
    <w:rsid w:val="00283AEE"/>
    <w:rsid w:val="00284194"/>
    <w:rsid w:val="002844A3"/>
    <w:rsid w:val="0028742C"/>
    <w:rsid w:val="0029205A"/>
    <w:rsid w:val="002A0D6F"/>
    <w:rsid w:val="002A1F21"/>
    <w:rsid w:val="002A2CBD"/>
    <w:rsid w:val="002A31C2"/>
    <w:rsid w:val="002B3646"/>
    <w:rsid w:val="002B50BB"/>
    <w:rsid w:val="002B52B9"/>
    <w:rsid w:val="002B6D70"/>
    <w:rsid w:val="002C4810"/>
    <w:rsid w:val="002C4D7A"/>
    <w:rsid w:val="002C5B04"/>
    <w:rsid w:val="002C6A0C"/>
    <w:rsid w:val="002C71BD"/>
    <w:rsid w:val="002C71F7"/>
    <w:rsid w:val="002C7A17"/>
    <w:rsid w:val="002C7C3A"/>
    <w:rsid w:val="002D0A5D"/>
    <w:rsid w:val="002D28DD"/>
    <w:rsid w:val="002D4A14"/>
    <w:rsid w:val="002D4E2A"/>
    <w:rsid w:val="002E0BEB"/>
    <w:rsid w:val="002E1FEB"/>
    <w:rsid w:val="002E2C16"/>
    <w:rsid w:val="002E4614"/>
    <w:rsid w:val="002F03C9"/>
    <w:rsid w:val="002F2339"/>
    <w:rsid w:val="002F321B"/>
    <w:rsid w:val="002F44B1"/>
    <w:rsid w:val="002F6183"/>
    <w:rsid w:val="002F67DF"/>
    <w:rsid w:val="002F78E5"/>
    <w:rsid w:val="003003ED"/>
    <w:rsid w:val="003009E6"/>
    <w:rsid w:val="00300B27"/>
    <w:rsid w:val="00300CA0"/>
    <w:rsid w:val="0030179F"/>
    <w:rsid w:val="00301E94"/>
    <w:rsid w:val="003057C9"/>
    <w:rsid w:val="00307002"/>
    <w:rsid w:val="003125A4"/>
    <w:rsid w:val="003126B0"/>
    <w:rsid w:val="003138B1"/>
    <w:rsid w:val="0031415A"/>
    <w:rsid w:val="00317B61"/>
    <w:rsid w:val="0032176A"/>
    <w:rsid w:val="00321806"/>
    <w:rsid w:val="00322A4F"/>
    <w:rsid w:val="003245F5"/>
    <w:rsid w:val="00325C58"/>
    <w:rsid w:val="0032786D"/>
    <w:rsid w:val="00327BD8"/>
    <w:rsid w:val="00330C40"/>
    <w:rsid w:val="00331E50"/>
    <w:rsid w:val="00336628"/>
    <w:rsid w:val="00337B8D"/>
    <w:rsid w:val="00340B3A"/>
    <w:rsid w:val="00343956"/>
    <w:rsid w:val="003455C5"/>
    <w:rsid w:val="0035088F"/>
    <w:rsid w:val="00354845"/>
    <w:rsid w:val="00355233"/>
    <w:rsid w:val="00356ED4"/>
    <w:rsid w:val="00357AEE"/>
    <w:rsid w:val="00360777"/>
    <w:rsid w:val="0036197E"/>
    <w:rsid w:val="00361B79"/>
    <w:rsid w:val="003651EF"/>
    <w:rsid w:val="00370B8A"/>
    <w:rsid w:val="003727AF"/>
    <w:rsid w:val="00373282"/>
    <w:rsid w:val="0037344C"/>
    <w:rsid w:val="0037497E"/>
    <w:rsid w:val="00376027"/>
    <w:rsid w:val="003760F2"/>
    <w:rsid w:val="00377DE0"/>
    <w:rsid w:val="00380F8B"/>
    <w:rsid w:val="003814B2"/>
    <w:rsid w:val="0038477F"/>
    <w:rsid w:val="003848DC"/>
    <w:rsid w:val="00385840"/>
    <w:rsid w:val="00385D55"/>
    <w:rsid w:val="003871C7"/>
    <w:rsid w:val="003878EF"/>
    <w:rsid w:val="00391A8E"/>
    <w:rsid w:val="00391F03"/>
    <w:rsid w:val="00392002"/>
    <w:rsid w:val="00394FA1"/>
    <w:rsid w:val="0039569C"/>
    <w:rsid w:val="00397921"/>
    <w:rsid w:val="003A01EC"/>
    <w:rsid w:val="003A032A"/>
    <w:rsid w:val="003A2C5D"/>
    <w:rsid w:val="003B0325"/>
    <w:rsid w:val="003B1894"/>
    <w:rsid w:val="003B3B47"/>
    <w:rsid w:val="003B4620"/>
    <w:rsid w:val="003B58F2"/>
    <w:rsid w:val="003B616A"/>
    <w:rsid w:val="003B62A1"/>
    <w:rsid w:val="003B7CFE"/>
    <w:rsid w:val="003C262F"/>
    <w:rsid w:val="003C3434"/>
    <w:rsid w:val="003C50A6"/>
    <w:rsid w:val="003C5B1D"/>
    <w:rsid w:val="003D0E72"/>
    <w:rsid w:val="003D2045"/>
    <w:rsid w:val="003D3A3E"/>
    <w:rsid w:val="003D41B8"/>
    <w:rsid w:val="003D450D"/>
    <w:rsid w:val="003D65C2"/>
    <w:rsid w:val="003E0C2E"/>
    <w:rsid w:val="003E3324"/>
    <w:rsid w:val="003E36F3"/>
    <w:rsid w:val="003E3850"/>
    <w:rsid w:val="003E4976"/>
    <w:rsid w:val="003E49E5"/>
    <w:rsid w:val="003E6921"/>
    <w:rsid w:val="003E6AB9"/>
    <w:rsid w:val="003F0E2B"/>
    <w:rsid w:val="003F1620"/>
    <w:rsid w:val="003F6313"/>
    <w:rsid w:val="003F796C"/>
    <w:rsid w:val="00404DDC"/>
    <w:rsid w:val="0040702C"/>
    <w:rsid w:val="00407313"/>
    <w:rsid w:val="004141A1"/>
    <w:rsid w:val="00416075"/>
    <w:rsid w:val="00417C40"/>
    <w:rsid w:val="00417F03"/>
    <w:rsid w:val="00420985"/>
    <w:rsid w:val="00420E66"/>
    <w:rsid w:val="00421BF0"/>
    <w:rsid w:val="00425BD7"/>
    <w:rsid w:val="00426162"/>
    <w:rsid w:val="00426D5C"/>
    <w:rsid w:val="00427735"/>
    <w:rsid w:val="00431EF7"/>
    <w:rsid w:val="004338D6"/>
    <w:rsid w:val="00433FFB"/>
    <w:rsid w:val="00434F2A"/>
    <w:rsid w:val="00435989"/>
    <w:rsid w:val="00435CFF"/>
    <w:rsid w:val="00435EF0"/>
    <w:rsid w:val="0043670C"/>
    <w:rsid w:val="004415BB"/>
    <w:rsid w:val="00443A3A"/>
    <w:rsid w:val="004447F9"/>
    <w:rsid w:val="00444892"/>
    <w:rsid w:val="00446A9D"/>
    <w:rsid w:val="00447F69"/>
    <w:rsid w:val="00451703"/>
    <w:rsid w:val="00453270"/>
    <w:rsid w:val="00456F60"/>
    <w:rsid w:val="004574EE"/>
    <w:rsid w:val="00457DA8"/>
    <w:rsid w:val="004618C5"/>
    <w:rsid w:val="00462601"/>
    <w:rsid w:val="0046539C"/>
    <w:rsid w:val="00466345"/>
    <w:rsid w:val="00466E03"/>
    <w:rsid w:val="004673FD"/>
    <w:rsid w:val="00470EA2"/>
    <w:rsid w:val="00472E78"/>
    <w:rsid w:val="0047487C"/>
    <w:rsid w:val="004755F2"/>
    <w:rsid w:val="00476E61"/>
    <w:rsid w:val="0047710F"/>
    <w:rsid w:val="0048032F"/>
    <w:rsid w:val="00481139"/>
    <w:rsid w:val="0048403F"/>
    <w:rsid w:val="004877C5"/>
    <w:rsid w:val="00487C69"/>
    <w:rsid w:val="00487DBF"/>
    <w:rsid w:val="00492215"/>
    <w:rsid w:val="0049327B"/>
    <w:rsid w:val="0049582F"/>
    <w:rsid w:val="00496B63"/>
    <w:rsid w:val="004A1304"/>
    <w:rsid w:val="004A1328"/>
    <w:rsid w:val="004A301A"/>
    <w:rsid w:val="004A5583"/>
    <w:rsid w:val="004A5FD4"/>
    <w:rsid w:val="004A671E"/>
    <w:rsid w:val="004B2CC7"/>
    <w:rsid w:val="004B2D7B"/>
    <w:rsid w:val="004B2E79"/>
    <w:rsid w:val="004B5005"/>
    <w:rsid w:val="004B512F"/>
    <w:rsid w:val="004B5821"/>
    <w:rsid w:val="004B5DAE"/>
    <w:rsid w:val="004C34C3"/>
    <w:rsid w:val="004C3816"/>
    <w:rsid w:val="004C5CA2"/>
    <w:rsid w:val="004D05A7"/>
    <w:rsid w:val="004D0EC6"/>
    <w:rsid w:val="004D28A4"/>
    <w:rsid w:val="004D5D8E"/>
    <w:rsid w:val="004D7CF5"/>
    <w:rsid w:val="004E27CB"/>
    <w:rsid w:val="004E2D40"/>
    <w:rsid w:val="004E39BC"/>
    <w:rsid w:val="004E49A7"/>
    <w:rsid w:val="004E5C89"/>
    <w:rsid w:val="004E6A3D"/>
    <w:rsid w:val="004E6C3B"/>
    <w:rsid w:val="004E7B4D"/>
    <w:rsid w:val="004F4ADE"/>
    <w:rsid w:val="004F4E41"/>
    <w:rsid w:val="004F5235"/>
    <w:rsid w:val="004F608E"/>
    <w:rsid w:val="004F676F"/>
    <w:rsid w:val="004F6ADC"/>
    <w:rsid w:val="004F7B3E"/>
    <w:rsid w:val="00500B09"/>
    <w:rsid w:val="00501700"/>
    <w:rsid w:val="0050312B"/>
    <w:rsid w:val="00503E23"/>
    <w:rsid w:val="00505613"/>
    <w:rsid w:val="00505FF8"/>
    <w:rsid w:val="005061BE"/>
    <w:rsid w:val="00507A31"/>
    <w:rsid w:val="00507EB3"/>
    <w:rsid w:val="005113A5"/>
    <w:rsid w:val="00513735"/>
    <w:rsid w:val="00514B22"/>
    <w:rsid w:val="00515773"/>
    <w:rsid w:val="005224A1"/>
    <w:rsid w:val="00523ED7"/>
    <w:rsid w:val="0053056D"/>
    <w:rsid w:val="00534473"/>
    <w:rsid w:val="0053576D"/>
    <w:rsid w:val="00535B07"/>
    <w:rsid w:val="00535F4E"/>
    <w:rsid w:val="00536020"/>
    <w:rsid w:val="00536990"/>
    <w:rsid w:val="00536E2E"/>
    <w:rsid w:val="0054069F"/>
    <w:rsid w:val="00542E19"/>
    <w:rsid w:val="00544422"/>
    <w:rsid w:val="0054483D"/>
    <w:rsid w:val="005463DC"/>
    <w:rsid w:val="005476E8"/>
    <w:rsid w:val="005502C3"/>
    <w:rsid w:val="00550F00"/>
    <w:rsid w:val="00550FA2"/>
    <w:rsid w:val="00552893"/>
    <w:rsid w:val="00553958"/>
    <w:rsid w:val="00553B17"/>
    <w:rsid w:val="00553B88"/>
    <w:rsid w:val="0055452B"/>
    <w:rsid w:val="0055574A"/>
    <w:rsid w:val="005567ED"/>
    <w:rsid w:val="00557555"/>
    <w:rsid w:val="00557BF8"/>
    <w:rsid w:val="00560FB5"/>
    <w:rsid w:val="00561B9D"/>
    <w:rsid w:val="00562721"/>
    <w:rsid w:val="0057097A"/>
    <w:rsid w:val="00572FDA"/>
    <w:rsid w:val="00573E33"/>
    <w:rsid w:val="00574D1C"/>
    <w:rsid w:val="00576441"/>
    <w:rsid w:val="00577B38"/>
    <w:rsid w:val="005807DC"/>
    <w:rsid w:val="005815A5"/>
    <w:rsid w:val="0058338B"/>
    <w:rsid w:val="0058696F"/>
    <w:rsid w:val="0058792F"/>
    <w:rsid w:val="005900EC"/>
    <w:rsid w:val="00592554"/>
    <w:rsid w:val="0059454E"/>
    <w:rsid w:val="005A0DAC"/>
    <w:rsid w:val="005A267A"/>
    <w:rsid w:val="005A3F2C"/>
    <w:rsid w:val="005A44B9"/>
    <w:rsid w:val="005A63E8"/>
    <w:rsid w:val="005B0CB1"/>
    <w:rsid w:val="005B343A"/>
    <w:rsid w:val="005B3538"/>
    <w:rsid w:val="005B409F"/>
    <w:rsid w:val="005B4479"/>
    <w:rsid w:val="005B5E5D"/>
    <w:rsid w:val="005B6566"/>
    <w:rsid w:val="005C1773"/>
    <w:rsid w:val="005C2569"/>
    <w:rsid w:val="005C5FA0"/>
    <w:rsid w:val="005C61A7"/>
    <w:rsid w:val="005D2CD4"/>
    <w:rsid w:val="005D5B17"/>
    <w:rsid w:val="005D6A3D"/>
    <w:rsid w:val="005E0CAB"/>
    <w:rsid w:val="005E123D"/>
    <w:rsid w:val="005E35AD"/>
    <w:rsid w:val="005E3DE8"/>
    <w:rsid w:val="005E4882"/>
    <w:rsid w:val="005E56F6"/>
    <w:rsid w:val="005F0BF7"/>
    <w:rsid w:val="005F1FB1"/>
    <w:rsid w:val="005F23DF"/>
    <w:rsid w:val="005F4321"/>
    <w:rsid w:val="005F4C29"/>
    <w:rsid w:val="005F5CFD"/>
    <w:rsid w:val="005F69FF"/>
    <w:rsid w:val="005F7548"/>
    <w:rsid w:val="00600826"/>
    <w:rsid w:val="00600AFA"/>
    <w:rsid w:val="00600D76"/>
    <w:rsid w:val="00603E89"/>
    <w:rsid w:val="00605317"/>
    <w:rsid w:val="00610503"/>
    <w:rsid w:val="00610654"/>
    <w:rsid w:val="006124AE"/>
    <w:rsid w:val="006225CB"/>
    <w:rsid w:val="00622A67"/>
    <w:rsid w:val="0062717A"/>
    <w:rsid w:val="00631E6C"/>
    <w:rsid w:val="00632BE4"/>
    <w:rsid w:val="00632D7B"/>
    <w:rsid w:val="00632DF3"/>
    <w:rsid w:val="0063373F"/>
    <w:rsid w:val="006339C9"/>
    <w:rsid w:val="006344D0"/>
    <w:rsid w:val="0063516C"/>
    <w:rsid w:val="00637C46"/>
    <w:rsid w:val="00640662"/>
    <w:rsid w:val="0064082D"/>
    <w:rsid w:val="006418D2"/>
    <w:rsid w:val="00643811"/>
    <w:rsid w:val="006445C7"/>
    <w:rsid w:val="006449A1"/>
    <w:rsid w:val="0064528B"/>
    <w:rsid w:val="00646972"/>
    <w:rsid w:val="006471B0"/>
    <w:rsid w:val="006522CB"/>
    <w:rsid w:val="006524FB"/>
    <w:rsid w:val="00653098"/>
    <w:rsid w:val="00655DC1"/>
    <w:rsid w:val="00656B05"/>
    <w:rsid w:val="006609FC"/>
    <w:rsid w:val="0066392F"/>
    <w:rsid w:val="00664002"/>
    <w:rsid w:val="0066421F"/>
    <w:rsid w:val="00664308"/>
    <w:rsid w:val="00665F43"/>
    <w:rsid w:val="006662ED"/>
    <w:rsid w:val="00670FAB"/>
    <w:rsid w:val="00672CCC"/>
    <w:rsid w:val="00674C3D"/>
    <w:rsid w:val="006845ED"/>
    <w:rsid w:val="00684C32"/>
    <w:rsid w:val="006873DD"/>
    <w:rsid w:val="00687D96"/>
    <w:rsid w:val="00695ABF"/>
    <w:rsid w:val="00697BF9"/>
    <w:rsid w:val="00697F7D"/>
    <w:rsid w:val="006A2B07"/>
    <w:rsid w:val="006A3E06"/>
    <w:rsid w:val="006A3E9C"/>
    <w:rsid w:val="006A58D3"/>
    <w:rsid w:val="006B2C94"/>
    <w:rsid w:val="006B2E50"/>
    <w:rsid w:val="006B36DB"/>
    <w:rsid w:val="006B4221"/>
    <w:rsid w:val="006B5E7F"/>
    <w:rsid w:val="006B693F"/>
    <w:rsid w:val="006C0083"/>
    <w:rsid w:val="006C2653"/>
    <w:rsid w:val="006C5933"/>
    <w:rsid w:val="006C5E09"/>
    <w:rsid w:val="006C5EE8"/>
    <w:rsid w:val="006C7359"/>
    <w:rsid w:val="006C77BE"/>
    <w:rsid w:val="006D3731"/>
    <w:rsid w:val="006D37CD"/>
    <w:rsid w:val="006D4518"/>
    <w:rsid w:val="006E31FA"/>
    <w:rsid w:val="006E3D07"/>
    <w:rsid w:val="006E3E82"/>
    <w:rsid w:val="006E778B"/>
    <w:rsid w:val="006F4132"/>
    <w:rsid w:val="006F4694"/>
    <w:rsid w:val="006F512D"/>
    <w:rsid w:val="00700AB1"/>
    <w:rsid w:val="007017EB"/>
    <w:rsid w:val="00702DB2"/>
    <w:rsid w:val="00705644"/>
    <w:rsid w:val="007070D1"/>
    <w:rsid w:val="00711FFE"/>
    <w:rsid w:val="007123B8"/>
    <w:rsid w:val="00713150"/>
    <w:rsid w:val="007132FE"/>
    <w:rsid w:val="00721946"/>
    <w:rsid w:val="00722D00"/>
    <w:rsid w:val="00723263"/>
    <w:rsid w:val="00727ED6"/>
    <w:rsid w:val="00730358"/>
    <w:rsid w:val="0073390D"/>
    <w:rsid w:val="00733963"/>
    <w:rsid w:val="00734365"/>
    <w:rsid w:val="0073593A"/>
    <w:rsid w:val="00736694"/>
    <w:rsid w:val="00737C5C"/>
    <w:rsid w:val="00740670"/>
    <w:rsid w:val="00741E91"/>
    <w:rsid w:val="00742765"/>
    <w:rsid w:val="00744493"/>
    <w:rsid w:val="0074504E"/>
    <w:rsid w:val="00745DC6"/>
    <w:rsid w:val="007527FD"/>
    <w:rsid w:val="007538B0"/>
    <w:rsid w:val="00753D3A"/>
    <w:rsid w:val="00754AF0"/>
    <w:rsid w:val="0075617B"/>
    <w:rsid w:val="00756B6E"/>
    <w:rsid w:val="007608B8"/>
    <w:rsid w:val="00764876"/>
    <w:rsid w:val="0076495A"/>
    <w:rsid w:val="0077055E"/>
    <w:rsid w:val="007706E2"/>
    <w:rsid w:val="00770BAB"/>
    <w:rsid w:val="00771C6C"/>
    <w:rsid w:val="00772411"/>
    <w:rsid w:val="00773CBA"/>
    <w:rsid w:val="00776CEC"/>
    <w:rsid w:val="007772C7"/>
    <w:rsid w:val="00777444"/>
    <w:rsid w:val="00781988"/>
    <w:rsid w:val="00783A10"/>
    <w:rsid w:val="007847C3"/>
    <w:rsid w:val="007869C4"/>
    <w:rsid w:val="007875F7"/>
    <w:rsid w:val="00794C1B"/>
    <w:rsid w:val="00794E7D"/>
    <w:rsid w:val="007A0852"/>
    <w:rsid w:val="007A16E3"/>
    <w:rsid w:val="007A224F"/>
    <w:rsid w:val="007A24FA"/>
    <w:rsid w:val="007A360D"/>
    <w:rsid w:val="007A5A5B"/>
    <w:rsid w:val="007A7053"/>
    <w:rsid w:val="007A7D97"/>
    <w:rsid w:val="007B16D5"/>
    <w:rsid w:val="007B2457"/>
    <w:rsid w:val="007B2B9C"/>
    <w:rsid w:val="007B3F3F"/>
    <w:rsid w:val="007B6881"/>
    <w:rsid w:val="007B760F"/>
    <w:rsid w:val="007B7A3F"/>
    <w:rsid w:val="007C0431"/>
    <w:rsid w:val="007C3066"/>
    <w:rsid w:val="007C4393"/>
    <w:rsid w:val="007C4C27"/>
    <w:rsid w:val="007C54E7"/>
    <w:rsid w:val="007C68EA"/>
    <w:rsid w:val="007C7285"/>
    <w:rsid w:val="007C7EE7"/>
    <w:rsid w:val="007D0309"/>
    <w:rsid w:val="007D036F"/>
    <w:rsid w:val="007D19F6"/>
    <w:rsid w:val="007D2CEA"/>
    <w:rsid w:val="007D679A"/>
    <w:rsid w:val="007E0DCB"/>
    <w:rsid w:val="007E18C7"/>
    <w:rsid w:val="007E36C2"/>
    <w:rsid w:val="007E3B7D"/>
    <w:rsid w:val="007E4391"/>
    <w:rsid w:val="007E4F68"/>
    <w:rsid w:val="007E50CE"/>
    <w:rsid w:val="007E7921"/>
    <w:rsid w:val="007F0E74"/>
    <w:rsid w:val="007F1F6B"/>
    <w:rsid w:val="007F37F5"/>
    <w:rsid w:val="00800D9C"/>
    <w:rsid w:val="00800F23"/>
    <w:rsid w:val="008019BC"/>
    <w:rsid w:val="00801F1E"/>
    <w:rsid w:val="00802794"/>
    <w:rsid w:val="00802B25"/>
    <w:rsid w:val="00803D26"/>
    <w:rsid w:val="008041BE"/>
    <w:rsid w:val="00804B89"/>
    <w:rsid w:val="008052FB"/>
    <w:rsid w:val="008105D5"/>
    <w:rsid w:val="00810BB3"/>
    <w:rsid w:val="00811F3C"/>
    <w:rsid w:val="00813285"/>
    <w:rsid w:val="00813826"/>
    <w:rsid w:val="008141E0"/>
    <w:rsid w:val="00816F40"/>
    <w:rsid w:val="008174C2"/>
    <w:rsid w:val="00820B4D"/>
    <w:rsid w:val="00822C26"/>
    <w:rsid w:val="00823086"/>
    <w:rsid w:val="00823B51"/>
    <w:rsid w:val="0082470A"/>
    <w:rsid w:val="008247EB"/>
    <w:rsid w:val="00824BE2"/>
    <w:rsid w:val="008253FC"/>
    <w:rsid w:val="0082590F"/>
    <w:rsid w:val="00831518"/>
    <w:rsid w:val="00831B6D"/>
    <w:rsid w:val="00835116"/>
    <w:rsid w:val="00836FB3"/>
    <w:rsid w:val="00836FE4"/>
    <w:rsid w:val="00841BD7"/>
    <w:rsid w:val="00841FBC"/>
    <w:rsid w:val="00843FEA"/>
    <w:rsid w:val="0084407B"/>
    <w:rsid w:val="00844734"/>
    <w:rsid w:val="00845BF4"/>
    <w:rsid w:val="008460E0"/>
    <w:rsid w:val="00846309"/>
    <w:rsid w:val="00847EDC"/>
    <w:rsid w:val="008503A9"/>
    <w:rsid w:val="00850DE4"/>
    <w:rsid w:val="00852A92"/>
    <w:rsid w:val="00852C76"/>
    <w:rsid w:val="00854649"/>
    <w:rsid w:val="00856BAF"/>
    <w:rsid w:val="008576B5"/>
    <w:rsid w:val="00860407"/>
    <w:rsid w:val="0086078C"/>
    <w:rsid w:val="00867EF6"/>
    <w:rsid w:val="00871334"/>
    <w:rsid w:val="00871A80"/>
    <w:rsid w:val="00874B9C"/>
    <w:rsid w:val="00875842"/>
    <w:rsid w:val="00875F2E"/>
    <w:rsid w:val="00880B8E"/>
    <w:rsid w:val="00881553"/>
    <w:rsid w:val="00881E9B"/>
    <w:rsid w:val="008841A4"/>
    <w:rsid w:val="00885467"/>
    <w:rsid w:val="00885A96"/>
    <w:rsid w:val="00886941"/>
    <w:rsid w:val="00890D91"/>
    <w:rsid w:val="00890EB4"/>
    <w:rsid w:val="008929A5"/>
    <w:rsid w:val="008942E1"/>
    <w:rsid w:val="00894EF8"/>
    <w:rsid w:val="0089520E"/>
    <w:rsid w:val="00896B3A"/>
    <w:rsid w:val="00896D31"/>
    <w:rsid w:val="008975C9"/>
    <w:rsid w:val="008A0885"/>
    <w:rsid w:val="008A213D"/>
    <w:rsid w:val="008A22D0"/>
    <w:rsid w:val="008A264D"/>
    <w:rsid w:val="008A3A56"/>
    <w:rsid w:val="008A45FE"/>
    <w:rsid w:val="008A4B3A"/>
    <w:rsid w:val="008B011D"/>
    <w:rsid w:val="008B0939"/>
    <w:rsid w:val="008B4611"/>
    <w:rsid w:val="008B7288"/>
    <w:rsid w:val="008C0E00"/>
    <w:rsid w:val="008C1A0A"/>
    <w:rsid w:val="008C1EE9"/>
    <w:rsid w:val="008C34FB"/>
    <w:rsid w:val="008C53BA"/>
    <w:rsid w:val="008C5C70"/>
    <w:rsid w:val="008C76AF"/>
    <w:rsid w:val="008D412C"/>
    <w:rsid w:val="008D7221"/>
    <w:rsid w:val="008E0A31"/>
    <w:rsid w:val="008E29FA"/>
    <w:rsid w:val="008E4A7D"/>
    <w:rsid w:val="008E4C11"/>
    <w:rsid w:val="008E4D61"/>
    <w:rsid w:val="008E695E"/>
    <w:rsid w:val="008E7233"/>
    <w:rsid w:val="008F08C5"/>
    <w:rsid w:val="008F5AD4"/>
    <w:rsid w:val="008F7699"/>
    <w:rsid w:val="00902BDD"/>
    <w:rsid w:val="00903CD3"/>
    <w:rsid w:val="00910197"/>
    <w:rsid w:val="00910C41"/>
    <w:rsid w:val="009110B5"/>
    <w:rsid w:val="00911954"/>
    <w:rsid w:val="00913639"/>
    <w:rsid w:val="009157D5"/>
    <w:rsid w:val="009171B6"/>
    <w:rsid w:val="00917C99"/>
    <w:rsid w:val="0092241F"/>
    <w:rsid w:val="009224CA"/>
    <w:rsid w:val="00927A60"/>
    <w:rsid w:val="00930D8A"/>
    <w:rsid w:val="00933322"/>
    <w:rsid w:val="009336EC"/>
    <w:rsid w:val="00937BEC"/>
    <w:rsid w:val="00937E17"/>
    <w:rsid w:val="00937E63"/>
    <w:rsid w:val="0094189B"/>
    <w:rsid w:val="00941F5E"/>
    <w:rsid w:val="00947F79"/>
    <w:rsid w:val="009537C2"/>
    <w:rsid w:val="00953B4A"/>
    <w:rsid w:val="0095506F"/>
    <w:rsid w:val="00956F9C"/>
    <w:rsid w:val="00960C8C"/>
    <w:rsid w:val="00962489"/>
    <w:rsid w:val="00962C4A"/>
    <w:rsid w:val="0096411C"/>
    <w:rsid w:val="00965E4C"/>
    <w:rsid w:val="00966BD0"/>
    <w:rsid w:val="0096764A"/>
    <w:rsid w:val="00967658"/>
    <w:rsid w:val="00970AF8"/>
    <w:rsid w:val="009723A4"/>
    <w:rsid w:val="009726A6"/>
    <w:rsid w:val="00974101"/>
    <w:rsid w:val="00980587"/>
    <w:rsid w:val="00982178"/>
    <w:rsid w:val="009859D0"/>
    <w:rsid w:val="00985F16"/>
    <w:rsid w:val="0099012F"/>
    <w:rsid w:val="00994BC5"/>
    <w:rsid w:val="00995153"/>
    <w:rsid w:val="00997019"/>
    <w:rsid w:val="009971C8"/>
    <w:rsid w:val="009973D4"/>
    <w:rsid w:val="00997AA3"/>
    <w:rsid w:val="00997B93"/>
    <w:rsid w:val="00997F32"/>
    <w:rsid w:val="009A22CE"/>
    <w:rsid w:val="009A37BC"/>
    <w:rsid w:val="009A3BDA"/>
    <w:rsid w:val="009A3C35"/>
    <w:rsid w:val="009A428D"/>
    <w:rsid w:val="009A5193"/>
    <w:rsid w:val="009A561F"/>
    <w:rsid w:val="009A7256"/>
    <w:rsid w:val="009A7EFC"/>
    <w:rsid w:val="009B2EAD"/>
    <w:rsid w:val="009B3303"/>
    <w:rsid w:val="009B3490"/>
    <w:rsid w:val="009B3A03"/>
    <w:rsid w:val="009B3A6F"/>
    <w:rsid w:val="009B4049"/>
    <w:rsid w:val="009B6143"/>
    <w:rsid w:val="009B6DC0"/>
    <w:rsid w:val="009C01CA"/>
    <w:rsid w:val="009C0BA4"/>
    <w:rsid w:val="009C0BB9"/>
    <w:rsid w:val="009C283F"/>
    <w:rsid w:val="009C2BE3"/>
    <w:rsid w:val="009C57A5"/>
    <w:rsid w:val="009C6872"/>
    <w:rsid w:val="009D0E27"/>
    <w:rsid w:val="009D10A2"/>
    <w:rsid w:val="009D1F76"/>
    <w:rsid w:val="009D5F00"/>
    <w:rsid w:val="009D6443"/>
    <w:rsid w:val="009D6C96"/>
    <w:rsid w:val="009D778D"/>
    <w:rsid w:val="009E41CD"/>
    <w:rsid w:val="009E5EE1"/>
    <w:rsid w:val="009E7118"/>
    <w:rsid w:val="009E71E5"/>
    <w:rsid w:val="009E7C19"/>
    <w:rsid w:val="009F0144"/>
    <w:rsid w:val="009F102C"/>
    <w:rsid w:val="009F1B3A"/>
    <w:rsid w:val="00A009FA"/>
    <w:rsid w:val="00A02A79"/>
    <w:rsid w:val="00A035D8"/>
    <w:rsid w:val="00A05EC8"/>
    <w:rsid w:val="00A07286"/>
    <w:rsid w:val="00A07782"/>
    <w:rsid w:val="00A07895"/>
    <w:rsid w:val="00A11F71"/>
    <w:rsid w:val="00A12C2C"/>
    <w:rsid w:val="00A13194"/>
    <w:rsid w:val="00A2019A"/>
    <w:rsid w:val="00A204D9"/>
    <w:rsid w:val="00A21BE3"/>
    <w:rsid w:val="00A222BF"/>
    <w:rsid w:val="00A22ACD"/>
    <w:rsid w:val="00A24888"/>
    <w:rsid w:val="00A2621D"/>
    <w:rsid w:val="00A26D59"/>
    <w:rsid w:val="00A278A9"/>
    <w:rsid w:val="00A300A3"/>
    <w:rsid w:val="00A3105A"/>
    <w:rsid w:val="00A346F0"/>
    <w:rsid w:val="00A411B7"/>
    <w:rsid w:val="00A428D7"/>
    <w:rsid w:val="00A43DB3"/>
    <w:rsid w:val="00A444D1"/>
    <w:rsid w:val="00A45612"/>
    <w:rsid w:val="00A47853"/>
    <w:rsid w:val="00A54110"/>
    <w:rsid w:val="00A5492D"/>
    <w:rsid w:val="00A54BEA"/>
    <w:rsid w:val="00A5584A"/>
    <w:rsid w:val="00A56262"/>
    <w:rsid w:val="00A577A3"/>
    <w:rsid w:val="00A57D1A"/>
    <w:rsid w:val="00A6006E"/>
    <w:rsid w:val="00A61160"/>
    <w:rsid w:val="00A646AC"/>
    <w:rsid w:val="00A64B18"/>
    <w:rsid w:val="00A64D0B"/>
    <w:rsid w:val="00A64DC3"/>
    <w:rsid w:val="00A7181D"/>
    <w:rsid w:val="00A7225A"/>
    <w:rsid w:val="00A72C86"/>
    <w:rsid w:val="00A72D1C"/>
    <w:rsid w:val="00A74022"/>
    <w:rsid w:val="00A75194"/>
    <w:rsid w:val="00A76040"/>
    <w:rsid w:val="00A767E0"/>
    <w:rsid w:val="00A8059A"/>
    <w:rsid w:val="00A80682"/>
    <w:rsid w:val="00A816D3"/>
    <w:rsid w:val="00A838BD"/>
    <w:rsid w:val="00A85B72"/>
    <w:rsid w:val="00A865B8"/>
    <w:rsid w:val="00A93039"/>
    <w:rsid w:val="00A93216"/>
    <w:rsid w:val="00A9416A"/>
    <w:rsid w:val="00A94341"/>
    <w:rsid w:val="00A94BC5"/>
    <w:rsid w:val="00A95F72"/>
    <w:rsid w:val="00A965B3"/>
    <w:rsid w:val="00A968DF"/>
    <w:rsid w:val="00AA0250"/>
    <w:rsid w:val="00AA11F2"/>
    <w:rsid w:val="00AA1CEA"/>
    <w:rsid w:val="00AB18C1"/>
    <w:rsid w:val="00AB1B01"/>
    <w:rsid w:val="00AB2338"/>
    <w:rsid w:val="00AB23E0"/>
    <w:rsid w:val="00AB76D8"/>
    <w:rsid w:val="00AB7A34"/>
    <w:rsid w:val="00AC21A2"/>
    <w:rsid w:val="00AC28EE"/>
    <w:rsid w:val="00AC3314"/>
    <w:rsid w:val="00AC59F8"/>
    <w:rsid w:val="00AC6967"/>
    <w:rsid w:val="00AD0E62"/>
    <w:rsid w:val="00AD14E3"/>
    <w:rsid w:val="00AD2DBE"/>
    <w:rsid w:val="00AE1DA2"/>
    <w:rsid w:val="00AE2708"/>
    <w:rsid w:val="00AE2882"/>
    <w:rsid w:val="00AE3235"/>
    <w:rsid w:val="00AE51DC"/>
    <w:rsid w:val="00AE58DE"/>
    <w:rsid w:val="00AE6506"/>
    <w:rsid w:val="00AF10D8"/>
    <w:rsid w:val="00AF3FFA"/>
    <w:rsid w:val="00AF501D"/>
    <w:rsid w:val="00B03132"/>
    <w:rsid w:val="00B04DB2"/>
    <w:rsid w:val="00B06E7F"/>
    <w:rsid w:val="00B110DB"/>
    <w:rsid w:val="00B120C7"/>
    <w:rsid w:val="00B12833"/>
    <w:rsid w:val="00B1429B"/>
    <w:rsid w:val="00B162BA"/>
    <w:rsid w:val="00B20427"/>
    <w:rsid w:val="00B22261"/>
    <w:rsid w:val="00B2263B"/>
    <w:rsid w:val="00B23E29"/>
    <w:rsid w:val="00B24559"/>
    <w:rsid w:val="00B25468"/>
    <w:rsid w:val="00B26748"/>
    <w:rsid w:val="00B31E7B"/>
    <w:rsid w:val="00B339E7"/>
    <w:rsid w:val="00B34991"/>
    <w:rsid w:val="00B35DC3"/>
    <w:rsid w:val="00B460C2"/>
    <w:rsid w:val="00B46591"/>
    <w:rsid w:val="00B46E24"/>
    <w:rsid w:val="00B516ED"/>
    <w:rsid w:val="00B53405"/>
    <w:rsid w:val="00B54979"/>
    <w:rsid w:val="00B55007"/>
    <w:rsid w:val="00B55B4C"/>
    <w:rsid w:val="00B61F0A"/>
    <w:rsid w:val="00B62727"/>
    <w:rsid w:val="00B6519F"/>
    <w:rsid w:val="00B65BBB"/>
    <w:rsid w:val="00B65F44"/>
    <w:rsid w:val="00B67BC1"/>
    <w:rsid w:val="00B703E6"/>
    <w:rsid w:val="00B716A2"/>
    <w:rsid w:val="00B72C8F"/>
    <w:rsid w:val="00B734BA"/>
    <w:rsid w:val="00B77504"/>
    <w:rsid w:val="00B805D6"/>
    <w:rsid w:val="00B81852"/>
    <w:rsid w:val="00B81F29"/>
    <w:rsid w:val="00B82056"/>
    <w:rsid w:val="00B829AC"/>
    <w:rsid w:val="00B87C67"/>
    <w:rsid w:val="00B90371"/>
    <w:rsid w:val="00B9239E"/>
    <w:rsid w:val="00B942FD"/>
    <w:rsid w:val="00B946B1"/>
    <w:rsid w:val="00B95451"/>
    <w:rsid w:val="00B968E6"/>
    <w:rsid w:val="00BA16CF"/>
    <w:rsid w:val="00BA3264"/>
    <w:rsid w:val="00BA6440"/>
    <w:rsid w:val="00BB0137"/>
    <w:rsid w:val="00BB1117"/>
    <w:rsid w:val="00BB16F0"/>
    <w:rsid w:val="00BB75FC"/>
    <w:rsid w:val="00BB7F88"/>
    <w:rsid w:val="00BC1A13"/>
    <w:rsid w:val="00BC2804"/>
    <w:rsid w:val="00BC6D3E"/>
    <w:rsid w:val="00BC7A7B"/>
    <w:rsid w:val="00BD0A4B"/>
    <w:rsid w:val="00BD1C86"/>
    <w:rsid w:val="00BD1DC2"/>
    <w:rsid w:val="00BD339C"/>
    <w:rsid w:val="00BD4027"/>
    <w:rsid w:val="00BD4593"/>
    <w:rsid w:val="00BE2C9B"/>
    <w:rsid w:val="00BE3050"/>
    <w:rsid w:val="00BE5123"/>
    <w:rsid w:val="00BE5186"/>
    <w:rsid w:val="00BE5336"/>
    <w:rsid w:val="00BE7710"/>
    <w:rsid w:val="00BF0DBF"/>
    <w:rsid w:val="00BF237C"/>
    <w:rsid w:val="00BF3D61"/>
    <w:rsid w:val="00BF42B9"/>
    <w:rsid w:val="00BF5801"/>
    <w:rsid w:val="00BF6D10"/>
    <w:rsid w:val="00BF7EF6"/>
    <w:rsid w:val="00C0100E"/>
    <w:rsid w:val="00C01A3B"/>
    <w:rsid w:val="00C029BF"/>
    <w:rsid w:val="00C02DF0"/>
    <w:rsid w:val="00C07814"/>
    <w:rsid w:val="00C07DCB"/>
    <w:rsid w:val="00C10527"/>
    <w:rsid w:val="00C126FB"/>
    <w:rsid w:val="00C14AFB"/>
    <w:rsid w:val="00C15CDB"/>
    <w:rsid w:val="00C16E7B"/>
    <w:rsid w:val="00C2265C"/>
    <w:rsid w:val="00C22E5D"/>
    <w:rsid w:val="00C23235"/>
    <w:rsid w:val="00C23ECA"/>
    <w:rsid w:val="00C25B14"/>
    <w:rsid w:val="00C271F1"/>
    <w:rsid w:val="00C33638"/>
    <w:rsid w:val="00C36FD3"/>
    <w:rsid w:val="00C373F1"/>
    <w:rsid w:val="00C4007D"/>
    <w:rsid w:val="00C42B6B"/>
    <w:rsid w:val="00C4302E"/>
    <w:rsid w:val="00C441DF"/>
    <w:rsid w:val="00C459E5"/>
    <w:rsid w:val="00C471F1"/>
    <w:rsid w:val="00C4773F"/>
    <w:rsid w:val="00C47E7C"/>
    <w:rsid w:val="00C51706"/>
    <w:rsid w:val="00C518A2"/>
    <w:rsid w:val="00C51CE4"/>
    <w:rsid w:val="00C54B58"/>
    <w:rsid w:val="00C5660E"/>
    <w:rsid w:val="00C57ADA"/>
    <w:rsid w:val="00C61F98"/>
    <w:rsid w:val="00C62192"/>
    <w:rsid w:val="00C64060"/>
    <w:rsid w:val="00C65C35"/>
    <w:rsid w:val="00C72C8C"/>
    <w:rsid w:val="00C730F6"/>
    <w:rsid w:val="00C7376C"/>
    <w:rsid w:val="00C73888"/>
    <w:rsid w:val="00C73A1A"/>
    <w:rsid w:val="00C73E72"/>
    <w:rsid w:val="00C7614E"/>
    <w:rsid w:val="00C77981"/>
    <w:rsid w:val="00C77982"/>
    <w:rsid w:val="00C77FDD"/>
    <w:rsid w:val="00C82B3C"/>
    <w:rsid w:val="00C8375C"/>
    <w:rsid w:val="00C83C31"/>
    <w:rsid w:val="00C83F70"/>
    <w:rsid w:val="00C843F8"/>
    <w:rsid w:val="00C86425"/>
    <w:rsid w:val="00C90C54"/>
    <w:rsid w:val="00C92EC2"/>
    <w:rsid w:val="00C93B16"/>
    <w:rsid w:val="00C94CA3"/>
    <w:rsid w:val="00CA08D1"/>
    <w:rsid w:val="00CA0B1D"/>
    <w:rsid w:val="00CA118F"/>
    <w:rsid w:val="00CA41CF"/>
    <w:rsid w:val="00CA4265"/>
    <w:rsid w:val="00CA5079"/>
    <w:rsid w:val="00CB2295"/>
    <w:rsid w:val="00CB32B2"/>
    <w:rsid w:val="00CB7235"/>
    <w:rsid w:val="00CC004B"/>
    <w:rsid w:val="00CC0078"/>
    <w:rsid w:val="00CC19F9"/>
    <w:rsid w:val="00CC2561"/>
    <w:rsid w:val="00CC33BD"/>
    <w:rsid w:val="00CC4092"/>
    <w:rsid w:val="00CC683F"/>
    <w:rsid w:val="00CC713C"/>
    <w:rsid w:val="00CD2B7E"/>
    <w:rsid w:val="00CD2DF8"/>
    <w:rsid w:val="00CD3422"/>
    <w:rsid w:val="00CD7E92"/>
    <w:rsid w:val="00CE350E"/>
    <w:rsid w:val="00CF0457"/>
    <w:rsid w:val="00CF04BC"/>
    <w:rsid w:val="00CF1694"/>
    <w:rsid w:val="00CF1B6C"/>
    <w:rsid w:val="00CF1C03"/>
    <w:rsid w:val="00CF300F"/>
    <w:rsid w:val="00CF3796"/>
    <w:rsid w:val="00CF42D6"/>
    <w:rsid w:val="00CF4FAC"/>
    <w:rsid w:val="00CF5242"/>
    <w:rsid w:val="00D000EA"/>
    <w:rsid w:val="00D00766"/>
    <w:rsid w:val="00D01548"/>
    <w:rsid w:val="00D01879"/>
    <w:rsid w:val="00D01C71"/>
    <w:rsid w:val="00D03162"/>
    <w:rsid w:val="00D056AE"/>
    <w:rsid w:val="00D065A7"/>
    <w:rsid w:val="00D103DE"/>
    <w:rsid w:val="00D10A2E"/>
    <w:rsid w:val="00D10A46"/>
    <w:rsid w:val="00D11A11"/>
    <w:rsid w:val="00D12AA8"/>
    <w:rsid w:val="00D21BD6"/>
    <w:rsid w:val="00D262B8"/>
    <w:rsid w:val="00D27096"/>
    <w:rsid w:val="00D2787D"/>
    <w:rsid w:val="00D27C3C"/>
    <w:rsid w:val="00D27FDA"/>
    <w:rsid w:val="00D30EAA"/>
    <w:rsid w:val="00D31227"/>
    <w:rsid w:val="00D31A50"/>
    <w:rsid w:val="00D33CEE"/>
    <w:rsid w:val="00D34143"/>
    <w:rsid w:val="00D346B6"/>
    <w:rsid w:val="00D35FAA"/>
    <w:rsid w:val="00D3674A"/>
    <w:rsid w:val="00D37FDA"/>
    <w:rsid w:val="00D40997"/>
    <w:rsid w:val="00D40DD2"/>
    <w:rsid w:val="00D421B0"/>
    <w:rsid w:val="00D43893"/>
    <w:rsid w:val="00D445FC"/>
    <w:rsid w:val="00D52010"/>
    <w:rsid w:val="00D52F0B"/>
    <w:rsid w:val="00D546F6"/>
    <w:rsid w:val="00D55B5C"/>
    <w:rsid w:val="00D57A04"/>
    <w:rsid w:val="00D614B0"/>
    <w:rsid w:val="00D624B1"/>
    <w:rsid w:val="00D642DD"/>
    <w:rsid w:val="00D66551"/>
    <w:rsid w:val="00D67DED"/>
    <w:rsid w:val="00D73386"/>
    <w:rsid w:val="00D765ED"/>
    <w:rsid w:val="00D770FC"/>
    <w:rsid w:val="00D814B2"/>
    <w:rsid w:val="00D821FA"/>
    <w:rsid w:val="00D82692"/>
    <w:rsid w:val="00D82789"/>
    <w:rsid w:val="00D845BB"/>
    <w:rsid w:val="00D86AB7"/>
    <w:rsid w:val="00D96BB0"/>
    <w:rsid w:val="00DA1D83"/>
    <w:rsid w:val="00DA3E94"/>
    <w:rsid w:val="00DA40D6"/>
    <w:rsid w:val="00DA57A3"/>
    <w:rsid w:val="00DA659A"/>
    <w:rsid w:val="00DB0AD7"/>
    <w:rsid w:val="00DB3322"/>
    <w:rsid w:val="00DB4AD8"/>
    <w:rsid w:val="00DB5D4A"/>
    <w:rsid w:val="00DB5DFC"/>
    <w:rsid w:val="00DB78F0"/>
    <w:rsid w:val="00DC0947"/>
    <w:rsid w:val="00DC0A1F"/>
    <w:rsid w:val="00DC1ED5"/>
    <w:rsid w:val="00DC32E3"/>
    <w:rsid w:val="00DC410B"/>
    <w:rsid w:val="00DC4653"/>
    <w:rsid w:val="00DC61EE"/>
    <w:rsid w:val="00DC6DD4"/>
    <w:rsid w:val="00DD02AC"/>
    <w:rsid w:val="00DD0996"/>
    <w:rsid w:val="00DD1FD3"/>
    <w:rsid w:val="00DD3ACE"/>
    <w:rsid w:val="00DD3B17"/>
    <w:rsid w:val="00DD55C7"/>
    <w:rsid w:val="00DD59B8"/>
    <w:rsid w:val="00DD64FB"/>
    <w:rsid w:val="00DE0F80"/>
    <w:rsid w:val="00DE40F0"/>
    <w:rsid w:val="00DE6ADB"/>
    <w:rsid w:val="00DE7729"/>
    <w:rsid w:val="00DF2A53"/>
    <w:rsid w:val="00DF44BE"/>
    <w:rsid w:val="00DF5BE5"/>
    <w:rsid w:val="00DF69CE"/>
    <w:rsid w:val="00DF6B08"/>
    <w:rsid w:val="00E01814"/>
    <w:rsid w:val="00E03CBA"/>
    <w:rsid w:val="00E04095"/>
    <w:rsid w:val="00E05754"/>
    <w:rsid w:val="00E06B3E"/>
    <w:rsid w:val="00E100BF"/>
    <w:rsid w:val="00E104D4"/>
    <w:rsid w:val="00E1065E"/>
    <w:rsid w:val="00E113EC"/>
    <w:rsid w:val="00E11580"/>
    <w:rsid w:val="00E1352C"/>
    <w:rsid w:val="00E141DB"/>
    <w:rsid w:val="00E15450"/>
    <w:rsid w:val="00E160CE"/>
    <w:rsid w:val="00E16831"/>
    <w:rsid w:val="00E219BA"/>
    <w:rsid w:val="00E2295B"/>
    <w:rsid w:val="00E22C59"/>
    <w:rsid w:val="00E22D3C"/>
    <w:rsid w:val="00E2502B"/>
    <w:rsid w:val="00E2766C"/>
    <w:rsid w:val="00E27F19"/>
    <w:rsid w:val="00E30700"/>
    <w:rsid w:val="00E32B95"/>
    <w:rsid w:val="00E3790A"/>
    <w:rsid w:val="00E37A93"/>
    <w:rsid w:val="00E416FD"/>
    <w:rsid w:val="00E41AE9"/>
    <w:rsid w:val="00E41F05"/>
    <w:rsid w:val="00E43BA5"/>
    <w:rsid w:val="00E45CCD"/>
    <w:rsid w:val="00E45F9E"/>
    <w:rsid w:val="00E45FD5"/>
    <w:rsid w:val="00E47583"/>
    <w:rsid w:val="00E52253"/>
    <w:rsid w:val="00E52779"/>
    <w:rsid w:val="00E54043"/>
    <w:rsid w:val="00E54D2B"/>
    <w:rsid w:val="00E558C1"/>
    <w:rsid w:val="00E56775"/>
    <w:rsid w:val="00E574CA"/>
    <w:rsid w:val="00E604F5"/>
    <w:rsid w:val="00E62E55"/>
    <w:rsid w:val="00E66070"/>
    <w:rsid w:val="00E66261"/>
    <w:rsid w:val="00E73C02"/>
    <w:rsid w:val="00E75E48"/>
    <w:rsid w:val="00E76422"/>
    <w:rsid w:val="00E83897"/>
    <w:rsid w:val="00E8572A"/>
    <w:rsid w:val="00E87084"/>
    <w:rsid w:val="00E90C60"/>
    <w:rsid w:val="00E95C37"/>
    <w:rsid w:val="00E97756"/>
    <w:rsid w:val="00E9788E"/>
    <w:rsid w:val="00EA42F6"/>
    <w:rsid w:val="00EA448C"/>
    <w:rsid w:val="00EA48D7"/>
    <w:rsid w:val="00EA62B3"/>
    <w:rsid w:val="00EB05AB"/>
    <w:rsid w:val="00EB2A35"/>
    <w:rsid w:val="00EB578B"/>
    <w:rsid w:val="00EC017C"/>
    <w:rsid w:val="00EC0512"/>
    <w:rsid w:val="00EC1450"/>
    <w:rsid w:val="00EC2715"/>
    <w:rsid w:val="00EC2781"/>
    <w:rsid w:val="00EC3C14"/>
    <w:rsid w:val="00EC57E9"/>
    <w:rsid w:val="00EC6B25"/>
    <w:rsid w:val="00ED228B"/>
    <w:rsid w:val="00ED22D3"/>
    <w:rsid w:val="00ED29A2"/>
    <w:rsid w:val="00ED45E9"/>
    <w:rsid w:val="00ED4C28"/>
    <w:rsid w:val="00ED56F8"/>
    <w:rsid w:val="00ED6F2F"/>
    <w:rsid w:val="00ED74D2"/>
    <w:rsid w:val="00EE00E9"/>
    <w:rsid w:val="00EE1B82"/>
    <w:rsid w:val="00EE1BCA"/>
    <w:rsid w:val="00EE2DB4"/>
    <w:rsid w:val="00EE4A2D"/>
    <w:rsid w:val="00EE4F76"/>
    <w:rsid w:val="00EE708F"/>
    <w:rsid w:val="00EE78FA"/>
    <w:rsid w:val="00EF658C"/>
    <w:rsid w:val="00F00313"/>
    <w:rsid w:val="00F00EBA"/>
    <w:rsid w:val="00F023D9"/>
    <w:rsid w:val="00F02CF2"/>
    <w:rsid w:val="00F02F4D"/>
    <w:rsid w:val="00F04512"/>
    <w:rsid w:val="00F11543"/>
    <w:rsid w:val="00F16420"/>
    <w:rsid w:val="00F176CD"/>
    <w:rsid w:val="00F17B7B"/>
    <w:rsid w:val="00F2115C"/>
    <w:rsid w:val="00F21EFA"/>
    <w:rsid w:val="00F247D2"/>
    <w:rsid w:val="00F30CC7"/>
    <w:rsid w:val="00F30F1B"/>
    <w:rsid w:val="00F32806"/>
    <w:rsid w:val="00F32B2C"/>
    <w:rsid w:val="00F32DBC"/>
    <w:rsid w:val="00F35C58"/>
    <w:rsid w:val="00F35EF7"/>
    <w:rsid w:val="00F3736E"/>
    <w:rsid w:val="00F413A5"/>
    <w:rsid w:val="00F434F7"/>
    <w:rsid w:val="00F44672"/>
    <w:rsid w:val="00F47155"/>
    <w:rsid w:val="00F4736E"/>
    <w:rsid w:val="00F51CFC"/>
    <w:rsid w:val="00F52658"/>
    <w:rsid w:val="00F52A7E"/>
    <w:rsid w:val="00F5394D"/>
    <w:rsid w:val="00F5540B"/>
    <w:rsid w:val="00F56E46"/>
    <w:rsid w:val="00F66670"/>
    <w:rsid w:val="00F672A4"/>
    <w:rsid w:val="00F674A5"/>
    <w:rsid w:val="00F674E9"/>
    <w:rsid w:val="00F67664"/>
    <w:rsid w:val="00F70499"/>
    <w:rsid w:val="00F711B8"/>
    <w:rsid w:val="00F734A5"/>
    <w:rsid w:val="00F74769"/>
    <w:rsid w:val="00F7479A"/>
    <w:rsid w:val="00F749F0"/>
    <w:rsid w:val="00F7738D"/>
    <w:rsid w:val="00F84359"/>
    <w:rsid w:val="00F8582B"/>
    <w:rsid w:val="00F905B9"/>
    <w:rsid w:val="00F92D30"/>
    <w:rsid w:val="00F938C0"/>
    <w:rsid w:val="00F94089"/>
    <w:rsid w:val="00FA20B9"/>
    <w:rsid w:val="00FA23AC"/>
    <w:rsid w:val="00FA263B"/>
    <w:rsid w:val="00FA29EE"/>
    <w:rsid w:val="00FA54FB"/>
    <w:rsid w:val="00FB19EE"/>
    <w:rsid w:val="00FB2CFB"/>
    <w:rsid w:val="00FB527E"/>
    <w:rsid w:val="00FB6BF2"/>
    <w:rsid w:val="00FC18FD"/>
    <w:rsid w:val="00FC4A20"/>
    <w:rsid w:val="00FC4F2A"/>
    <w:rsid w:val="00FD2A2F"/>
    <w:rsid w:val="00FD4509"/>
    <w:rsid w:val="00FD6BBD"/>
    <w:rsid w:val="00FD767C"/>
    <w:rsid w:val="00FE02E7"/>
    <w:rsid w:val="00FE47E7"/>
    <w:rsid w:val="00FE600F"/>
    <w:rsid w:val="00FF0AD7"/>
    <w:rsid w:val="00FF1AE2"/>
    <w:rsid w:val="00FF2412"/>
    <w:rsid w:val="00FF27A0"/>
    <w:rsid w:val="00FF5F30"/>
    <w:rsid w:val="00FF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66ADCC"/>
  <w15:docId w15:val="{0A4B11AF-E820-461D-B748-D9513AB1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C09"/>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CD2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DF8"/>
  </w:style>
  <w:style w:type="paragraph" w:styleId="Footer">
    <w:name w:val="footer"/>
    <w:basedOn w:val="Normal"/>
    <w:link w:val="FooterChar"/>
    <w:uiPriority w:val="99"/>
    <w:unhideWhenUsed/>
    <w:rsid w:val="00CD2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DF8"/>
  </w:style>
  <w:style w:type="paragraph" w:styleId="BalloonText">
    <w:name w:val="Balloon Text"/>
    <w:basedOn w:val="Normal"/>
    <w:link w:val="BalloonTextChar"/>
    <w:uiPriority w:val="99"/>
    <w:semiHidden/>
    <w:unhideWhenUsed/>
    <w:rsid w:val="00DC0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947"/>
    <w:rPr>
      <w:rFonts w:ascii="Tahoma" w:hAnsi="Tahoma" w:cs="Tahoma"/>
      <w:sz w:val="16"/>
      <w:szCs w:val="16"/>
    </w:rPr>
  </w:style>
  <w:style w:type="character" w:styleId="Hyperlink">
    <w:name w:val="Hyperlink"/>
    <w:basedOn w:val="DefaultParagraphFont"/>
    <w:uiPriority w:val="99"/>
    <w:unhideWhenUsed/>
    <w:rsid w:val="00896B3A"/>
    <w:rPr>
      <w:color w:val="0000FF" w:themeColor="hyperlink"/>
      <w:u w:val="single"/>
    </w:rPr>
  </w:style>
  <w:style w:type="character" w:styleId="FollowedHyperlink">
    <w:name w:val="FollowedHyperlink"/>
    <w:basedOn w:val="DefaultParagraphFont"/>
    <w:uiPriority w:val="99"/>
    <w:semiHidden/>
    <w:unhideWhenUsed/>
    <w:rsid w:val="002A1F21"/>
    <w:rPr>
      <w:color w:val="800080" w:themeColor="followedHyperlink"/>
      <w:u w:val="single"/>
    </w:rPr>
  </w:style>
  <w:style w:type="paragraph" w:styleId="FootnoteText">
    <w:name w:val="footnote text"/>
    <w:basedOn w:val="Normal"/>
    <w:link w:val="FootnoteTextChar"/>
    <w:uiPriority w:val="99"/>
    <w:semiHidden/>
    <w:unhideWhenUsed/>
    <w:rsid w:val="003217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176A"/>
    <w:rPr>
      <w:sz w:val="20"/>
      <w:szCs w:val="20"/>
    </w:rPr>
  </w:style>
  <w:style w:type="character" w:styleId="FootnoteReference">
    <w:name w:val="footnote reference"/>
    <w:basedOn w:val="DefaultParagraphFont"/>
    <w:uiPriority w:val="99"/>
    <w:semiHidden/>
    <w:unhideWhenUsed/>
    <w:rsid w:val="0032176A"/>
    <w:rPr>
      <w:vertAlign w:val="superscript"/>
    </w:rPr>
  </w:style>
  <w:style w:type="character" w:styleId="CommentReference">
    <w:name w:val="annotation reference"/>
    <w:basedOn w:val="DefaultParagraphFont"/>
    <w:uiPriority w:val="99"/>
    <w:semiHidden/>
    <w:unhideWhenUsed/>
    <w:rsid w:val="003F0E2B"/>
    <w:rPr>
      <w:sz w:val="16"/>
      <w:szCs w:val="16"/>
    </w:rPr>
  </w:style>
  <w:style w:type="paragraph" w:styleId="CommentText">
    <w:name w:val="annotation text"/>
    <w:basedOn w:val="Normal"/>
    <w:link w:val="CommentTextChar"/>
    <w:uiPriority w:val="99"/>
    <w:unhideWhenUsed/>
    <w:rsid w:val="003F0E2B"/>
    <w:pPr>
      <w:spacing w:line="240" w:lineRule="auto"/>
    </w:pPr>
    <w:rPr>
      <w:sz w:val="20"/>
      <w:szCs w:val="20"/>
    </w:rPr>
  </w:style>
  <w:style w:type="character" w:customStyle="1" w:styleId="CommentTextChar">
    <w:name w:val="Comment Text Char"/>
    <w:basedOn w:val="DefaultParagraphFont"/>
    <w:link w:val="CommentText"/>
    <w:uiPriority w:val="99"/>
    <w:rsid w:val="003F0E2B"/>
    <w:rPr>
      <w:sz w:val="20"/>
      <w:szCs w:val="20"/>
    </w:rPr>
  </w:style>
  <w:style w:type="paragraph" w:styleId="CommentSubject">
    <w:name w:val="annotation subject"/>
    <w:basedOn w:val="CommentText"/>
    <w:next w:val="CommentText"/>
    <w:link w:val="CommentSubjectChar"/>
    <w:uiPriority w:val="99"/>
    <w:semiHidden/>
    <w:unhideWhenUsed/>
    <w:rsid w:val="003F0E2B"/>
    <w:rPr>
      <w:b/>
      <w:bCs/>
    </w:rPr>
  </w:style>
  <w:style w:type="character" w:customStyle="1" w:styleId="CommentSubjectChar">
    <w:name w:val="Comment Subject Char"/>
    <w:basedOn w:val="CommentTextChar"/>
    <w:link w:val="CommentSubject"/>
    <w:uiPriority w:val="99"/>
    <w:semiHidden/>
    <w:rsid w:val="003F0E2B"/>
    <w:rPr>
      <w:b/>
      <w:bCs/>
      <w:sz w:val="20"/>
      <w:szCs w:val="20"/>
    </w:rPr>
  </w:style>
  <w:style w:type="paragraph" w:styleId="Revision">
    <w:name w:val="Revision"/>
    <w:hidden/>
    <w:uiPriority w:val="99"/>
    <w:semiHidden/>
    <w:rsid w:val="00D814B2"/>
    <w:pPr>
      <w:spacing w:after="0" w:line="240" w:lineRule="auto"/>
    </w:pPr>
  </w:style>
  <w:style w:type="character" w:styleId="UnresolvedMention">
    <w:name w:val="Unresolved Mention"/>
    <w:basedOn w:val="DefaultParagraphFont"/>
    <w:uiPriority w:val="99"/>
    <w:semiHidden/>
    <w:unhideWhenUsed/>
    <w:rsid w:val="00E66070"/>
    <w:rPr>
      <w:color w:val="605E5C"/>
      <w:shd w:val="clear" w:color="auto" w:fill="E1DFDD"/>
    </w:rPr>
  </w:style>
  <w:style w:type="paragraph" w:styleId="EndnoteText">
    <w:name w:val="endnote text"/>
    <w:basedOn w:val="Normal"/>
    <w:link w:val="EndnoteTextChar"/>
    <w:uiPriority w:val="99"/>
    <w:semiHidden/>
    <w:unhideWhenUsed/>
    <w:rsid w:val="005879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92F"/>
    <w:rPr>
      <w:sz w:val="20"/>
      <w:szCs w:val="20"/>
    </w:rPr>
  </w:style>
  <w:style w:type="character" w:styleId="EndnoteReference">
    <w:name w:val="endnote reference"/>
    <w:basedOn w:val="DefaultParagraphFont"/>
    <w:uiPriority w:val="99"/>
    <w:semiHidden/>
    <w:unhideWhenUsed/>
    <w:rsid w:val="0058792F"/>
    <w:rPr>
      <w:vertAlign w:val="superscript"/>
    </w:rPr>
  </w:style>
  <w:style w:type="paragraph" w:customStyle="1" w:styleId="Cover-AgencyName">
    <w:name w:val="Cover - Agency Name"/>
    <w:basedOn w:val="Normal"/>
    <w:qFormat/>
    <w:rsid w:val="00CA0B1D"/>
    <w:pPr>
      <w:tabs>
        <w:tab w:val="left" w:pos="1440"/>
      </w:tabs>
      <w:spacing w:after="0" w:line="240" w:lineRule="auto"/>
    </w:pPr>
    <w:rPr>
      <w:rFonts w:ascii="Avenir Next LT Pro" w:hAnsi="Avenir Next LT Pro"/>
      <w:b/>
      <w:caps/>
      <w:color w:val="1F497D" w:themeColor="text2"/>
      <w:sz w:val="56"/>
      <w:szCs w:val="56"/>
    </w:rPr>
  </w:style>
  <w:style w:type="paragraph" w:customStyle="1" w:styleId="Cover-ServiceArea">
    <w:name w:val="Cover - Service Area"/>
    <w:basedOn w:val="Normal"/>
    <w:qFormat/>
    <w:rsid w:val="00CA0B1D"/>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Cover-Info">
    <w:name w:val="Cover - Info"/>
    <w:aliases w:val="Issue Date"/>
    <w:basedOn w:val="Normal"/>
    <w:qFormat/>
    <w:rsid w:val="00CA0B1D"/>
    <w:pPr>
      <w:tabs>
        <w:tab w:val="left" w:pos="1440"/>
      </w:tabs>
      <w:spacing w:after="0" w:line="240" w:lineRule="auto"/>
      <w:ind w:right="10"/>
    </w:pPr>
    <w:rPr>
      <w:rFonts w:ascii="Avenir Next LT Pro" w:hAnsi="Avenir Next LT Pro"/>
      <w:b/>
      <w:color w:val="1F497D" w:themeColor="text2"/>
      <w:sz w:val="24"/>
      <w:szCs w:val="24"/>
    </w:rPr>
  </w:style>
  <w:style w:type="paragraph" w:customStyle="1" w:styleId="Cover-AgencySubhead">
    <w:name w:val="Cover - Agency Subhead"/>
    <w:basedOn w:val="Normal"/>
    <w:qFormat/>
    <w:rsid w:val="00C4007D"/>
    <w:pPr>
      <w:tabs>
        <w:tab w:val="left" w:pos="1440"/>
      </w:tabs>
      <w:spacing w:after="0" w:line="240" w:lineRule="auto"/>
    </w:pPr>
    <w:rPr>
      <w:rFonts w:ascii="Avenir Next LT Pro" w:hAnsi="Avenir Next LT Pro"/>
      <w:caps/>
      <w:color w:val="1F497D" w:themeColor="text2"/>
      <w:sz w:val="40"/>
      <w:szCs w:val="40"/>
    </w:rPr>
  </w:style>
  <w:style w:type="paragraph" w:customStyle="1" w:styleId="AcctTtl1">
    <w:name w:val="Acct Ttl 1"/>
    <w:rsid w:val="00577B38"/>
    <w:pPr>
      <w:tabs>
        <w:tab w:val="center" w:leader="dot" w:pos="7920"/>
        <w:tab w:val="right" w:leader="dot" w:pos="9360"/>
      </w:tabs>
      <w:spacing w:after="240" w:line="240" w:lineRule="auto"/>
      <w:ind w:left="288" w:hanging="144"/>
    </w:pPr>
    <w:rPr>
      <w:rFonts w:ascii="Times New Roman" w:eastAsia="Times New Roman" w:hAnsi="Times New Roman" w:cs="Times New Roman"/>
      <w:sz w:val="24"/>
      <w:szCs w:val="24"/>
    </w:rPr>
  </w:style>
  <w:style w:type="paragraph" w:customStyle="1" w:styleId="AcctTtl">
    <w:name w:val="Acct Ttl"/>
    <w:link w:val="AcctTtlChar"/>
    <w:rsid w:val="00577B38"/>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577B38"/>
    <w:rPr>
      <w:rFonts w:ascii="Times New Roman" w:eastAsia="Times New Roman" w:hAnsi="Times New Roman" w:cs="Times New Roman"/>
      <w:sz w:val="24"/>
      <w:szCs w:val="24"/>
    </w:rPr>
  </w:style>
  <w:style w:type="paragraph" w:customStyle="1" w:styleId="SectionHeader">
    <w:name w:val="Section Header"/>
    <w:basedOn w:val="Normal"/>
    <w:qFormat/>
    <w:rsid w:val="00577B38"/>
    <w:pPr>
      <w:spacing w:after="0" w:line="240" w:lineRule="auto"/>
      <w:jc w:val="center"/>
    </w:pPr>
    <w:rPr>
      <w:rFonts w:ascii="Avenir Next LT Pro" w:hAnsi="Avenir Next LT Pro"/>
      <w:b/>
      <w:color w:val="053A63"/>
      <w:sz w:val="32"/>
      <w:szCs w:val="32"/>
    </w:rPr>
  </w:style>
  <w:style w:type="paragraph" w:customStyle="1" w:styleId="AcctHead">
    <w:name w:val="Acct Head"/>
    <w:rsid w:val="00577B38"/>
    <w:pPr>
      <w:tabs>
        <w:tab w:val="center" w:pos="7920"/>
      </w:tabs>
      <w:spacing w:after="0" w:line="240" w:lineRule="auto"/>
    </w:pPr>
    <w:rPr>
      <w:rFonts w:ascii="Times New Roman" w:eastAsia="Times New Roman" w:hAnsi="Times New Roman" w:cs="Times New Roman"/>
      <w:b/>
      <w:sz w:val="24"/>
      <w:szCs w:val="24"/>
    </w:rPr>
  </w:style>
  <w:style w:type="paragraph" w:customStyle="1" w:styleId="PageHeader-Inside">
    <w:name w:val="Page Header - Inside"/>
    <w:basedOn w:val="Normal"/>
    <w:qFormat/>
    <w:rsid w:val="007A7D97"/>
    <w:pPr>
      <w:pBdr>
        <w:bottom w:val="single" w:sz="4" w:space="1" w:color="5A83A6"/>
      </w:pBdr>
      <w:tabs>
        <w:tab w:val="right" w:pos="9360"/>
      </w:tabs>
      <w:spacing w:after="0" w:line="240" w:lineRule="auto"/>
      <w:jc w:val="both"/>
    </w:pPr>
    <w:rPr>
      <w:rFonts w:ascii="Avenir Next LT Pro" w:eastAsia="Times New Roman" w:hAnsi="Avenir Next LT Pro" w:cs="Times New Roman"/>
      <w:color w:val="053A6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996377">
      <w:bodyDiv w:val="1"/>
      <w:marLeft w:val="0"/>
      <w:marRight w:val="0"/>
      <w:marTop w:val="0"/>
      <w:marBottom w:val="0"/>
      <w:divBdr>
        <w:top w:val="none" w:sz="0" w:space="0" w:color="auto"/>
        <w:left w:val="none" w:sz="0" w:space="0" w:color="auto"/>
        <w:bottom w:val="none" w:sz="0" w:space="0" w:color="auto"/>
        <w:right w:val="none" w:sz="0" w:space="0" w:color="auto"/>
      </w:divBdr>
    </w:div>
    <w:div w:id="19763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cms.lla.la.gov/assets/lagag/audit-risk-alert-no.-46-change-in-sa-and-saup-requirement-for-cslfrfrecipients-table.pdf" TargetMode="External"/><Relationship Id="rId2" Type="http://schemas.openxmlformats.org/officeDocument/2006/relationships/customXml" Target="../customXml/item2.xml"/><Relationship Id="rId16" Type="http://schemas.openxmlformats.org/officeDocument/2006/relationships/hyperlink" Target="https://cms.lla.la.gov/assets/documents/Nonprofit-Checklist-Version-2.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reports@lla.la.gov"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lla.la.gov/hot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137BB-4AD8-4264-BB29-56ECFC4A7E90}">
  <ds:schemaRefs>
    <ds:schemaRef ds:uri="http://schemas.openxmlformats.org/officeDocument/2006/bibliography"/>
  </ds:schemaRefs>
</ds:datastoreItem>
</file>

<file path=customXml/itemProps2.xml><?xml version="1.0" encoding="utf-8"?>
<ds:datastoreItem xmlns:ds="http://schemas.openxmlformats.org/officeDocument/2006/customXml" ds:itemID="{CBE1FBA6-3894-44D1-AF94-8536C2C92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27</Pages>
  <Words>7545</Words>
  <Characters>43010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LLA</Company>
  <LinksUpToDate>false</LinksUpToDate>
  <CharactersWithSpaces>50455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 Cryer</dc:creator>
  <cp:lastModifiedBy>Barry Kelly</cp:lastModifiedBy>
  <cp:revision>11</cp:revision>
  <cp:lastPrinted>2024-10-15T14:23:00Z</cp:lastPrinted>
  <dcterms:created xsi:type="dcterms:W3CDTF">2025-10-01T15:15:00Z</dcterms:created>
  <dcterms:modified xsi:type="dcterms:W3CDTF">2025-10-29T18:38:00Z</dcterms:modified>
</cp:coreProperties>
</file>