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6F064" w14:textId="55DA3BFD" w:rsidR="00CA0B1D" w:rsidRPr="005C5FA0" w:rsidRDefault="00C4007D" w:rsidP="00CA0B1D">
      <w:pPr>
        <w:spacing w:before="1"/>
        <w:ind w:right="48"/>
        <w:rPr>
          <w:rFonts w:ascii="Verdana" w:hAnsi="Verdana"/>
          <w:b/>
          <w:caps/>
          <w:color w:val="FFFFFF" w:themeColor="background1"/>
          <w:sz w:val="56"/>
          <w:szCs w:val="56"/>
        </w:rPr>
      </w:pPr>
      <w:r w:rsidRPr="005C5FA0">
        <w:rPr>
          <w:rFonts w:ascii="Verdana" w:hAnsi="Verdana"/>
          <w:b/>
          <w:caps/>
          <w:color w:val="FFFFFF" w:themeColor="background1"/>
          <w:sz w:val="56"/>
          <w:szCs w:val="56"/>
        </w:rPr>
        <w:t>Statewide Agreed-Upon Procedures</w:t>
      </w:r>
    </w:p>
    <w:p w14:paraId="14B566D0" w14:textId="573899EC" w:rsidR="00C4007D" w:rsidRPr="005C5FA0" w:rsidRDefault="00C4007D" w:rsidP="00CA0B1D">
      <w:pPr>
        <w:spacing w:before="1"/>
        <w:ind w:right="48"/>
        <w:rPr>
          <w:rFonts w:ascii="Verdana" w:hAnsi="Verdana"/>
          <w:smallCaps/>
          <w:color w:val="FFFFFF" w:themeColor="background1"/>
          <w:sz w:val="52"/>
          <w:szCs w:val="52"/>
        </w:rPr>
      </w:pPr>
      <w:r w:rsidRPr="005C5FA0">
        <w:rPr>
          <w:rFonts w:ascii="Verdana" w:hAnsi="Verdana"/>
          <w:caps/>
          <w:color w:val="FFFFFF" w:themeColor="background1"/>
          <w:sz w:val="40"/>
          <w:szCs w:val="40"/>
        </w:rPr>
        <w:t>Fiscal Years Ending 12/31/2022 through 11/30/2023</w:t>
      </w:r>
    </w:p>
    <w:p w14:paraId="23112B09" w14:textId="3E7E9127" w:rsidR="00CA0B1D" w:rsidRPr="005C5FA0" w:rsidRDefault="00E54D2B" w:rsidP="00CA0B1D">
      <w:pPr>
        <w:pStyle w:val="Cover-ServiceArea"/>
        <w:rPr>
          <w:rFonts w:ascii="Verdana" w:hAnsi="Verdana"/>
          <w:color w:val="FFFFFF" w:themeColor="background1"/>
        </w:rPr>
      </w:pPr>
      <w:r w:rsidRPr="005C5FA0">
        <w:rPr>
          <w:rFonts w:ascii="Verdana" w:hAnsi="Verdana"/>
          <w:color w:val="FFFFFF" w:themeColor="background1"/>
        </w:rPr>
        <w:t xml:space="preserve">Local Government </w:t>
      </w:r>
      <w:r w:rsidR="00CA0B1D" w:rsidRPr="005C5FA0">
        <w:rPr>
          <w:rFonts w:ascii="Verdana" w:hAnsi="Verdana"/>
          <w:color w:val="FFFFFF" w:themeColor="background1"/>
        </w:rPr>
        <w:t>SERVICES</w:t>
      </w:r>
    </w:p>
    <w:p w14:paraId="64ACB1BD" w14:textId="0FCD287B" w:rsidR="00CA0B1D" w:rsidRPr="005C5FA0" w:rsidRDefault="00CA0B1D" w:rsidP="00C4007D">
      <w:pPr>
        <w:tabs>
          <w:tab w:val="left" w:pos="2495"/>
        </w:tabs>
        <w:ind w:right="10"/>
        <w:rPr>
          <w:rFonts w:ascii="Verdana" w:hAnsi="Verdana"/>
          <w:color w:val="104160"/>
        </w:rPr>
      </w:pPr>
    </w:p>
    <w:p w14:paraId="75F86EA3" w14:textId="6F215F5B" w:rsidR="002733E5" w:rsidRPr="005C5FA0" w:rsidRDefault="002733E5" w:rsidP="00263767">
      <w:pPr>
        <w:jc w:val="both"/>
        <w:rPr>
          <w:rFonts w:ascii="Times New Roman" w:hAnsi="Times New Roman" w:cs="Times New Roman"/>
          <w:sz w:val="24"/>
          <w:szCs w:val="24"/>
        </w:rPr>
      </w:pPr>
    </w:p>
    <w:p w14:paraId="4C7629D7" w14:textId="77777777" w:rsidR="00221C71" w:rsidRPr="005C5FA0" w:rsidRDefault="00221C71">
      <w:pPr>
        <w:rPr>
          <w:rFonts w:ascii="Times New Roman" w:hAnsi="Times New Roman" w:cs="Times New Roman"/>
          <w:sz w:val="24"/>
          <w:szCs w:val="24"/>
        </w:rPr>
        <w:sectPr w:rsidR="00221C71" w:rsidRPr="005C5FA0" w:rsidSect="007D679A">
          <w:headerReference w:type="default" r:id="rId9"/>
          <w:pgSz w:w="12240" w:h="15840"/>
          <w:pgMar w:top="1973" w:right="1440" w:bottom="1440" w:left="1440" w:header="1080" w:footer="720" w:gutter="0"/>
          <w:cols w:space="720"/>
          <w:docGrid w:linePitch="360"/>
        </w:sectPr>
      </w:pPr>
    </w:p>
    <w:p w14:paraId="23337A61" w14:textId="77777777" w:rsidR="00577B38" w:rsidRPr="005C5FA0" w:rsidRDefault="00577B38" w:rsidP="00577B38">
      <w:pPr>
        <w:pStyle w:val="SectionHeader"/>
        <w:rPr>
          <w:rFonts w:ascii="Verdana" w:hAnsi="Verdana"/>
        </w:rPr>
      </w:pPr>
      <w:bookmarkStart w:id="0" w:name="TOC"/>
      <w:bookmarkEnd w:id="0"/>
      <w:r w:rsidRPr="005C5FA0">
        <w:rPr>
          <w:rFonts w:ascii="Verdana" w:hAnsi="Verdana"/>
        </w:rPr>
        <w:lastRenderedPageBreak/>
        <w:t>TABLE OF CONTENTS</w:t>
      </w:r>
    </w:p>
    <w:p w14:paraId="08EAA293" w14:textId="77777777" w:rsidR="00577B38" w:rsidRPr="005C5FA0" w:rsidRDefault="00577B38" w:rsidP="00577B38">
      <w:pPr>
        <w:pBdr>
          <w:bottom w:val="single" w:sz="18" w:space="1" w:color="053A63"/>
        </w:pBdr>
        <w:jc w:val="center"/>
        <w:rPr>
          <w:rFonts w:ascii="Verdana" w:hAnsi="Verdana"/>
        </w:rPr>
      </w:pPr>
    </w:p>
    <w:p w14:paraId="611502E8" w14:textId="77777777" w:rsidR="00577B38" w:rsidRPr="005C5FA0" w:rsidRDefault="00577B38" w:rsidP="00577B38">
      <w:pPr>
        <w:tabs>
          <w:tab w:val="right" w:pos="9350"/>
        </w:tabs>
        <w:rPr>
          <w:rFonts w:ascii="Verdana" w:hAnsi="Verdana"/>
        </w:rPr>
      </w:pPr>
      <w:r w:rsidRPr="005C5FA0">
        <w:rPr>
          <w:rFonts w:ascii="Verdana" w:hAnsi="Verdana"/>
        </w:rPr>
        <w:tab/>
        <w:t>Page</w:t>
      </w:r>
    </w:p>
    <w:p w14:paraId="7E1D63E1" w14:textId="77777777" w:rsidR="00577B38" w:rsidRPr="005C5FA0" w:rsidRDefault="00577B38" w:rsidP="00577B38">
      <w:pPr>
        <w:tabs>
          <w:tab w:val="right" w:pos="9360"/>
        </w:tabs>
        <w:spacing w:after="0"/>
        <w:rPr>
          <w:rFonts w:ascii="Verdana" w:hAnsi="Verdana"/>
        </w:rPr>
      </w:pPr>
    </w:p>
    <w:p w14:paraId="488DBAA1" w14:textId="0DA54B9E" w:rsidR="00577B38" w:rsidRPr="005C5FA0" w:rsidRDefault="00722D00" w:rsidP="00577B38">
      <w:pPr>
        <w:pStyle w:val="AcctTtl"/>
        <w:tabs>
          <w:tab w:val="clear" w:pos="7920"/>
          <w:tab w:val="clear" w:pos="9360"/>
          <w:tab w:val="right" w:leader="dot" w:pos="9350"/>
        </w:tabs>
        <w:rPr>
          <w:rFonts w:ascii="Verdana" w:hAnsi="Verdana"/>
          <w:sz w:val="22"/>
          <w:szCs w:val="22"/>
        </w:rPr>
      </w:pPr>
      <w:hyperlink w:anchor="INTRO" w:history="1">
        <w:r w:rsidR="00577B38" w:rsidRPr="005C5FA0">
          <w:rPr>
            <w:rStyle w:val="Hyperlink"/>
            <w:rFonts w:ascii="Verdana" w:hAnsi="Verdana"/>
            <w:sz w:val="22"/>
            <w:szCs w:val="22"/>
          </w:rPr>
          <w:t>In</w:t>
        </w:r>
        <w:r w:rsidR="00B829AC" w:rsidRPr="005C5FA0">
          <w:rPr>
            <w:rStyle w:val="Hyperlink"/>
            <w:rFonts w:ascii="Verdana" w:hAnsi="Verdana"/>
            <w:sz w:val="22"/>
            <w:szCs w:val="22"/>
          </w:rPr>
          <w:t>troduction</w:t>
        </w:r>
      </w:hyperlink>
      <w:r w:rsidR="00577B38" w:rsidRPr="005C5FA0">
        <w:rPr>
          <w:rFonts w:ascii="Verdana" w:hAnsi="Verdana"/>
          <w:sz w:val="22"/>
          <w:szCs w:val="22"/>
        </w:rPr>
        <w:tab/>
      </w:r>
      <w:r w:rsidR="00B829AC" w:rsidRPr="005C5FA0">
        <w:rPr>
          <w:rFonts w:ascii="Verdana" w:hAnsi="Verdana"/>
          <w:sz w:val="22"/>
          <w:szCs w:val="22"/>
        </w:rPr>
        <w:t>1</w:t>
      </w:r>
    </w:p>
    <w:p w14:paraId="6A03D223" w14:textId="4570179C" w:rsidR="00E54D2B" w:rsidRPr="005C5FA0" w:rsidRDefault="00722D00" w:rsidP="00577B38">
      <w:pPr>
        <w:pStyle w:val="AcctTtl"/>
        <w:tabs>
          <w:tab w:val="clear" w:pos="7920"/>
          <w:tab w:val="clear" w:pos="9360"/>
          <w:tab w:val="right" w:leader="dot" w:pos="9350"/>
        </w:tabs>
        <w:rPr>
          <w:rFonts w:ascii="Verdana" w:hAnsi="Verdana"/>
          <w:sz w:val="22"/>
          <w:szCs w:val="22"/>
        </w:rPr>
      </w:pPr>
      <w:hyperlink w:anchor="NEW" w:history="1">
        <w:r w:rsidR="00E54D2B" w:rsidRPr="005C5FA0">
          <w:rPr>
            <w:rStyle w:val="Hyperlink"/>
            <w:rFonts w:ascii="Verdana" w:hAnsi="Verdana"/>
            <w:sz w:val="22"/>
            <w:szCs w:val="22"/>
          </w:rPr>
          <w:t>What’s New?</w:t>
        </w:r>
      </w:hyperlink>
      <w:r w:rsidR="00E54D2B" w:rsidRPr="005C5FA0">
        <w:rPr>
          <w:rFonts w:ascii="Verdana" w:hAnsi="Verdana"/>
          <w:sz w:val="22"/>
          <w:szCs w:val="22"/>
        </w:rPr>
        <w:tab/>
        <w:t>1</w:t>
      </w:r>
    </w:p>
    <w:p w14:paraId="448E2125" w14:textId="6B05FAAB" w:rsidR="00E54D2B" w:rsidRPr="005C5FA0" w:rsidRDefault="00722D00" w:rsidP="00577B38">
      <w:pPr>
        <w:pStyle w:val="AcctTtl"/>
        <w:tabs>
          <w:tab w:val="clear" w:pos="7920"/>
          <w:tab w:val="clear" w:pos="9360"/>
          <w:tab w:val="right" w:leader="dot" w:pos="9350"/>
        </w:tabs>
        <w:rPr>
          <w:rFonts w:ascii="Verdana" w:hAnsi="Verdana"/>
          <w:sz w:val="22"/>
          <w:szCs w:val="22"/>
        </w:rPr>
      </w:pPr>
      <w:hyperlink w:anchor="APPLICABLE" w:history="1">
        <w:r w:rsidR="00E54D2B" w:rsidRPr="005C5FA0">
          <w:rPr>
            <w:rStyle w:val="Hyperlink"/>
            <w:rFonts w:ascii="Verdana" w:hAnsi="Verdana"/>
            <w:sz w:val="22"/>
            <w:szCs w:val="22"/>
          </w:rPr>
          <w:t>Applicable Audit</w:t>
        </w:r>
        <w:r w:rsidR="00CA118F" w:rsidRPr="005C5FA0">
          <w:rPr>
            <w:rStyle w:val="Hyperlink"/>
            <w:rFonts w:ascii="Verdana" w:hAnsi="Verdana"/>
            <w:sz w:val="22"/>
            <w:szCs w:val="22"/>
          </w:rPr>
          <w:t>in</w:t>
        </w:r>
        <w:r w:rsidR="002F44B1" w:rsidRPr="005C5FA0">
          <w:rPr>
            <w:rStyle w:val="Hyperlink"/>
            <w:rFonts w:ascii="Verdana" w:hAnsi="Verdana"/>
            <w:sz w:val="22"/>
            <w:szCs w:val="22"/>
          </w:rPr>
          <w:t>g</w:t>
        </w:r>
        <w:r w:rsidR="00E54D2B" w:rsidRPr="005C5FA0">
          <w:rPr>
            <w:rStyle w:val="Hyperlink"/>
            <w:rFonts w:ascii="Verdana" w:hAnsi="Verdana"/>
            <w:sz w:val="22"/>
            <w:szCs w:val="22"/>
          </w:rPr>
          <w:t xml:space="preserve"> </w:t>
        </w:r>
        <w:r w:rsidR="002F44B1" w:rsidRPr="005C5FA0">
          <w:rPr>
            <w:rStyle w:val="Hyperlink"/>
            <w:rFonts w:ascii="Verdana" w:hAnsi="Verdana"/>
            <w:sz w:val="22"/>
            <w:szCs w:val="22"/>
          </w:rPr>
          <w:t>Standards</w:t>
        </w:r>
      </w:hyperlink>
      <w:r w:rsidR="00E54D2B" w:rsidRPr="005C5FA0">
        <w:rPr>
          <w:rFonts w:ascii="Verdana" w:hAnsi="Verdana"/>
          <w:sz w:val="22"/>
          <w:szCs w:val="22"/>
        </w:rPr>
        <w:tab/>
        <w:t>2</w:t>
      </w:r>
    </w:p>
    <w:p w14:paraId="5EF3B6AF" w14:textId="75756507" w:rsidR="00E54D2B" w:rsidRPr="005C5FA0" w:rsidRDefault="00722D00" w:rsidP="00577B38">
      <w:pPr>
        <w:pStyle w:val="AcctTtl"/>
        <w:tabs>
          <w:tab w:val="clear" w:pos="7920"/>
          <w:tab w:val="clear" w:pos="9360"/>
          <w:tab w:val="right" w:leader="dot" w:pos="9350"/>
        </w:tabs>
        <w:rPr>
          <w:rFonts w:ascii="Verdana" w:hAnsi="Verdana"/>
          <w:sz w:val="22"/>
          <w:szCs w:val="22"/>
        </w:rPr>
      </w:pPr>
      <w:hyperlink w:anchor="REPORTING_FINDINGS" w:history="1">
        <w:r w:rsidR="00E54D2B" w:rsidRPr="005C5FA0">
          <w:rPr>
            <w:rStyle w:val="Hyperlink"/>
            <w:rFonts w:ascii="Verdana" w:hAnsi="Verdana"/>
            <w:sz w:val="22"/>
            <w:szCs w:val="22"/>
          </w:rPr>
          <w:t>Reporting AUP Findings</w:t>
        </w:r>
      </w:hyperlink>
      <w:r w:rsidR="00E54D2B" w:rsidRPr="005C5FA0">
        <w:rPr>
          <w:rFonts w:ascii="Verdana" w:hAnsi="Verdana"/>
          <w:sz w:val="22"/>
          <w:szCs w:val="22"/>
        </w:rPr>
        <w:tab/>
        <w:t>2</w:t>
      </w:r>
    </w:p>
    <w:p w14:paraId="2FA4FAE8" w14:textId="3BFAB96A" w:rsidR="00E54D2B" w:rsidRPr="005C5FA0" w:rsidRDefault="00722D00" w:rsidP="00577B38">
      <w:pPr>
        <w:pStyle w:val="AcctTtl"/>
        <w:tabs>
          <w:tab w:val="clear" w:pos="7920"/>
          <w:tab w:val="clear" w:pos="9360"/>
          <w:tab w:val="right" w:leader="dot" w:pos="9350"/>
        </w:tabs>
        <w:rPr>
          <w:rFonts w:ascii="Verdana" w:hAnsi="Verdana"/>
          <w:sz w:val="22"/>
          <w:szCs w:val="22"/>
        </w:rPr>
      </w:pPr>
      <w:hyperlink w:anchor="SAUP_EXCEPTIONS_FINDINGS" w:history="1">
        <w:r w:rsidR="00E54D2B" w:rsidRPr="005C5FA0">
          <w:rPr>
            <w:rStyle w:val="Hyperlink"/>
            <w:rFonts w:ascii="Verdana" w:hAnsi="Verdana"/>
            <w:sz w:val="22"/>
            <w:szCs w:val="22"/>
          </w:rPr>
          <w:t>Statewide A</w:t>
        </w:r>
        <w:r w:rsidR="002F44B1" w:rsidRPr="005C5FA0">
          <w:rPr>
            <w:rStyle w:val="Hyperlink"/>
            <w:rFonts w:ascii="Verdana" w:hAnsi="Verdana"/>
            <w:sz w:val="22"/>
            <w:szCs w:val="22"/>
          </w:rPr>
          <w:t>UP Exceptions</w:t>
        </w:r>
        <w:r w:rsidR="00E54D2B" w:rsidRPr="005C5FA0">
          <w:rPr>
            <w:rStyle w:val="Hyperlink"/>
            <w:rFonts w:ascii="Verdana" w:hAnsi="Verdana"/>
            <w:sz w:val="22"/>
            <w:szCs w:val="22"/>
          </w:rPr>
          <w:t xml:space="preserve"> and the Schedule of Audit Findings</w:t>
        </w:r>
      </w:hyperlink>
      <w:r w:rsidR="00E54D2B" w:rsidRPr="005C5FA0">
        <w:rPr>
          <w:rFonts w:ascii="Verdana" w:hAnsi="Verdana"/>
          <w:sz w:val="22"/>
          <w:szCs w:val="22"/>
        </w:rPr>
        <w:tab/>
        <w:t>3</w:t>
      </w:r>
    </w:p>
    <w:p w14:paraId="0BE1B54D" w14:textId="14C09ABB" w:rsidR="00E54D2B" w:rsidRPr="005C5FA0" w:rsidRDefault="00722D00" w:rsidP="00577B38">
      <w:pPr>
        <w:pStyle w:val="AcctTtl"/>
        <w:tabs>
          <w:tab w:val="clear" w:pos="7920"/>
          <w:tab w:val="clear" w:pos="9360"/>
          <w:tab w:val="right" w:leader="dot" w:pos="9350"/>
        </w:tabs>
        <w:rPr>
          <w:rFonts w:ascii="Verdana" w:hAnsi="Verdana"/>
          <w:sz w:val="22"/>
          <w:szCs w:val="22"/>
        </w:rPr>
      </w:pPr>
      <w:hyperlink w:anchor="KNOWLEDGE_OUTSIDE_PROCEDURES" w:history="1">
        <w:r w:rsidR="00E54D2B" w:rsidRPr="005C5FA0">
          <w:rPr>
            <w:rStyle w:val="Hyperlink"/>
            <w:rFonts w:ascii="Verdana" w:hAnsi="Verdana"/>
            <w:sz w:val="22"/>
            <w:szCs w:val="22"/>
          </w:rPr>
          <w:t xml:space="preserve">Knowledge of </w:t>
        </w:r>
        <w:r w:rsidR="002F44B1" w:rsidRPr="005C5FA0">
          <w:rPr>
            <w:rStyle w:val="Hyperlink"/>
            <w:rFonts w:ascii="Verdana" w:hAnsi="Verdana"/>
            <w:sz w:val="22"/>
            <w:szCs w:val="22"/>
          </w:rPr>
          <w:t>Matters</w:t>
        </w:r>
        <w:r w:rsidR="00E54D2B" w:rsidRPr="005C5FA0">
          <w:rPr>
            <w:rStyle w:val="Hyperlink"/>
            <w:rFonts w:ascii="Verdana" w:hAnsi="Verdana"/>
            <w:sz w:val="22"/>
            <w:szCs w:val="22"/>
          </w:rPr>
          <w:t xml:space="preserve"> Outside Agreed-Upon Procedures</w:t>
        </w:r>
      </w:hyperlink>
      <w:r w:rsidR="00E54D2B" w:rsidRPr="005C5FA0">
        <w:rPr>
          <w:rFonts w:ascii="Verdana" w:hAnsi="Verdana"/>
          <w:sz w:val="22"/>
          <w:szCs w:val="22"/>
        </w:rPr>
        <w:tab/>
        <w:t>3</w:t>
      </w:r>
    </w:p>
    <w:p w14:paraId="78E155D5" w14:textId="305427F7" w:rsidR="00E54D2B" w:rsidRPr="005C5FA0" w:rsidRDefault="00722D00" w:rsidP="00577B38">
      <w:pPr>
        <w:pStyle w:val="AcctTtl"/>
        <w:tabs>
          <w:tab w:val="clear" w:pos="7920"/>
          <w:tab w:val="clear" w:pos="9360"/>
          <w:tab w:val="right" w:leader="dot" w:pos="9350"/>
        </w:tabs>
        <w:rPr>
          <w:rFonts w:ascii="Verdana" w:hAnsi="Verdana"/>
          <w:sz w:val="22"/>
          <w:szCs w:val="22"/>
        </w:rPr>
      </w:pPr>
      <w:hyperlink w:anchor="LOCAL_QUASI_APPLICABILITY" w:history="1">
        <w:r w:rsidR="00E54D2B" w:rsidRPr="005C5FA0">
          <w:rPr>
            <w:rStyle w:val="Hyperlink"/>
            <w:rFonts w:ascii="Verdana" w:hAnsi="Verdana"/>
            <w:sz w:val="22"/>
            <w:szCs w:val="22"/>
          </w:rPr>
          <w:t>Applicability of AUPs – Local Governments and Quasi-Public Entities</w:t>
        </w:r>
      </w:hyperlink>
      <w:r w:rsidR="00E54D2B" w:rsidRPr="005C5FA0">
        <w:rPr>
          <w:rFonts w:ascii="Verdana" w:hAnsi="Verdana"/>
          <w:sz w:val="22"/>
          <w:szCs w:val="22"/>
        </w:rPr>
        <w:tab/>
        <w:t>4</w:t>
      </w:r>
    </w:p>
    <w:p w14:paraId="1BE88D17" w14:textId="31594E81" w:rsidR="00E54D2B" w:rsidRPr="005C5FA0" w:rsidRDefault="00722D00" w:rsidP="00577B38">
      <w:pPr>
        <w:pStyle w:val="AcctTtl"/>
        <w:tabs>
          <w:tab w:val="clear" w:pos="7920"/>
          <w:tab w:val="clear" w:pos="9360"/>
          <w:tab w:val="right" w:leader="dot" w:pos="9350"/>
        </w:tabs>
        <w:rPr>
          <w:rFonts w:ascii="Verdana" w:hAnsi="Verdana"/>
          <w:sz w:val="22"/>
          <w:szCs w:val="22"/>
        </w:rPr>
      </w:pPr>
      <w:hyperlink w:anchor="APPLICABILITY_COMPONENT_UNITS" w:history="1">
        <w:r w:rsidR="00E54D2B" w:rsidRPr="005C5FA0">
          <w:rPr>
            <w:rStyle w:val="Hyperlink"/>
            <w:rFonts w:ascii="Verdana" w:hAnsi="Verdana"/>
            <w:sz w:val="22"/>
            <w:szCs w:val="22"/>
          </w:rPr>
          <w:t>Applicability of AUPs – Component Units</w:t>
        </w:r>
      </w:hyperlink>
      <w:r w:rsidR="00E54D2B" w:rsidRPr="005C5FA0">
        <w:rPr>
          <w:rFonts w:ascii="Verdana" w:hAnsi="Verdana"/>
          <w:sz w:val="22"/>
          <w:szCs w:val="22"/>
        </w:rPr>
        <w:tab/>
      </w:r>
      <w:r w:rsidR="00F734A5" w:rsidRPr="005C5FA0">
        <w:rPr>
          <w:rFonts w:ascii="Verdana" w:hAnsi="Verdana"/>
          <w:sz w:val="22"/>
          <w:szCs w:val="22"/>
        </w:rPr>
        <w:t>4</w:t>
      </w:r>
    </w:p>
    <w:p w14:paraId="103A59DA" w14:textId="5F569335" w:rsidR="00E54D2B" w:rsidRPr="005C5FA0" w:rsidRDefault="00722D00" w:rsidP="00577B38">
      <w:pPr>
        <w:pStyle w:val="AcctTtl"/>
        <w:tabs>
          <w:tab w:val="clear" w:pos="7920"/>
          <w:tab w:val="clear" w:pos="9360"/>
          <w:tab w:val="right" w:leader="dot" w:pos="9350"/>
        </w:tabs>
        <w:rPr>
          <w:rFonts w:ascii="Verdana" w:hAnsi="Verdana"/>
          <w:sz w:val="22"/>
          <w:szCs w:val="22"/>
        </w:rPr>
      </w:pPr>
      <w:hyperlink w:anchor="APPLICABILITY_NOT_FOR_PROFIT" w:history="1">
        <w:r w:rsidR="00E54D2B" w:rsidRPr="005C5FA0">
          <w:rPr>
            <w:rStyle w:val="Hyperlink"/>
            <w:rFonts w:ascii="Verdana" w:hAnsi="Verdana"/>
            <w:sz w:val="22"/>
            <w:szCs w:val="22"/>
          </w:rPr>
          <w:t>Applicability of AUPs – Not-For-Profit Entities</w:t>
        </w:r>
      </w:hyperlink>
      <w:r w:rsidR="00E54D2B" w:rsidRPr="005C5FA0">
        <w:rPr>
          <w:rFonts w:ascii="Verdana" w:hAnsi="Verdana"/>
          <w:sz w:val="22"/>
          <w:szCs w:val="22"/>
        </w:rPr>
        <w:tab/>
        <w:t>5</w:t>
      </w:r>
    </w:p>
    <w:p w14:paraId="68148FD5" w14:textId="4A257438" w:rsidR="00E54D2B" w:rsidRPr="005C5FA0" w:rsidRDefault="00722D00" w:rsidP="00577B38">
      <w:pPr>
        <w:pStyle w:val="AcctTtl"/>
        <w:tabs>
          <w:tab w:val="clear" w:pos="7920"/>
          <w:tab w:val="clear" w:pos="9360"/>
          <w:tab w:val="right" w:leader="dot" w:pos="9350"/>
        </w:tabs>
        <w:rPr>
          <w:rFonts w:ascii="Verdana" w:hAnsi="Verdana"/>
          <w:sz w:val="22"/>
          <w:szCs w:val="22"/>
        </w:rPr>
      </w:pPr>
      <w:hyperlink w:anchor="EXEMPTION_SINGLE_AUDIT" w:history="1">
        <w:r w:rsidR="00E54D2B" w:rsidRPr="005C5FA0">
          <w:rPr>
            <w:rStyle w:val="Hyperlink"/>
            <w:rFonts w:ascii="Verdana" w:hAnsi="Verdana"/>
            <w:sz w:val="22"/>
            <w:szCs w:val="22"/>
          </w:rPr>
          <w:t>AUP Exemption – Single Audit</w:t>
        </w:r>
      </w:hyperlink>
      <w:r w:rsidR="00E54D2B" w:rsidRPr="005C5FA0">
        <w:rPr>
          <w:rFonts w:ascii="Verdana" w:hAnsi="Verdana"/>
          <w:sz w:val="22"/>
          <w:szCs w:val="22"/>
        </w:rPr>
        <w:tab/>
      </w:r>
      <w:r w:rsidR="00F734A5" w:rsidRPr="005C5FA0">
        <w:rPr>
          <w:rFonts w:ascii="Verdana" w:hAnsi="Verdana"/>
          <w:sz w:val="22"/>
          <w:szCs w:val="22"/>
        </w:rPr>
        <w:t>5</w:t>
      </w:r>
    </w:p>
    <w:p w14:paraId="6BEF4397" w14:textId="0FCAF3FB" w:rsidR="00E54D2B" w:rsidRPr="005C5FA0" w:rsidRDefault="00722D00" w:rsidP="00577B38">
      <w:pPr>
        <w:pStyle w:val="AcctTtl"/>
        <w:tabs>
          <w:tab w:val="clear" w:pos="7920"/>
          <w:tab w:val="clear" w:pos="9360"/>
          <w:tab w:val="right" w:leader="dot" w:pos="9350"/>
        </w:tabs>
        <w:rPr>
          <w:rFonts w:ascii="Verdana" w:hAnsi="Verdana"/>
          <w:sz w:val="22"/>
          <w:szCs w:val="22"/>
        </w:rPr>
      </w:pPr>
      <w:hyperlink w:anchor="EXEMPTION_STUDENT_ACTIVITY_FUNDS" w:history="1">
        <w:r w:rsidR="00E54D2B" w:rsidRPr="005C5FA0">
          <w:rPr>
            <w:rStyle w:val="Hyperlink"/>
            <w:rFonts w:ascii="Verdana" w:hAnsi="Verdana"/>
            <w:sz w:val="22"/>
            <w:szCs w:val="22"/>
          </w:rPr>
          <w:t>AUP Exemption – School or Student Activity Funds</w:t>
        </w:r>
      </w:hyperlink>
      <w:r w:rsidR="00E54D2B" w:rsidRPr="005C5FA0">
        <w:rPr>
          <w:rFonts w:ascii="Verdana" w:hAnsi="Verdana"/>
          <w:sz w:val="22"/>
          <w:szCs w:val="22"/>
        </w:rPr>
        <w:tab/>
        <w:t>6</w:t>
      </w:r>
    </w:p>
    <w:p w14:paraId="4A63B7C7" w14:textId="184745EA" w:rsidR="00956F9C" w:rsidRPr="005C5FA0" w:rsidRDefault="00722D00" w:rsidP="00577B38">
      <w:pPr>
        <w:pStyle w:val="AcctTtl"/>
        <w:tabs>
          <w:tab w:val="clear" w:pos="7920"/>
          <w:tab w:val="clear" w:pos="9360"/>
          <w:tab w:val="right" w:leader="dot" w:pos="9350"/>
        </w:tabs>
        <w:rPr>
          <w:rFonts w:ascii="Verdana" w:hAnsi="Verdana"/>
          <w:sz w:val="22"/>
          <w:szCs w:val="22"/>
        </w:rPr>
      </w:pPr>
      <w:hyperlink w:anchor="EXEMPTION_CSLFR" w:history="1">
        <w:r w:rsidR="00956F9C" w:rsidRPr="005C5FA0">
          <w:rPr>
            <w:rStyle w:val="Hyperlink"/>
            <w:rFonts w:ascii="Verdana" w:hAnsi="Verdana"/>
            <w:sz w:val="22"/>
            <w:szCs w:val="22"/>
          </w:rPr>
          <w:t>AUP Exemption - Coronavirus State and Local Fiscal Recovery Funds</w:t>
        </w:r>
      </w:hyperlink>
      <w:r w:rsidR="00956F9C" w:rsidRPr="005C5FA0">
        <w:rPr>
          <w:rFonts w:ascii="Verdana" w:hAnsi="Verdana"/>
          <w:sz w:val="22"/>
          <w:szCs w:val="22"/>
        </w:rPr>
        <w:tab/>
        <w:t>6</w:t>
      </w:r>
    </w:p>
    <w:p w14:paraId="747037E3" w14:textId="3A0983FB" w:rsidR="00E54D2B" w:rsidRPr="005C5FA0" w:rsidRDefault="00722D00" w:rsidP="00577B38">
      <w:pPr>
        <w:pStyle w:val="AcctTtl"/>
        <w:tabs>
          <w:tab w:val="clear" w:pos="7920"/>
          <w:tab w:val="clear" w:pos="9360"/>
          <w:tab w:val="right" w:leader="dot" w:pos="9350"/>
        </w:tabs>
        <w:rPr>
          <w:rFonts w:ascii="Verdana" w:hAnsi="Verdana"/>
          <w:sz w:val="22"/>
          <w:szCs w:val="22"/>
        </w:rPr>
      </w:pPr>
      <w:hyperlink w:anchor="EXEMPTION_OTHER" w:history="1">
        <w:r w:rsidR="00E54D2B" w:rsidRPr="005C5FA0">
          <w:rPr>
            <w:rStyle w:val="Hyperlink"/>
            <w:rFonts w:ascii="Verdana" w:hAnsi="Verdana"/>
            <w:sz w:val="22"/>
            <w:szCs w:val="22"/>
          </w:rPr>
          <w:t>Other Entities Exempt from the AUPs</w:t>
        </w:r>
      </w:hyperlink>
      <w:r w:rsidR="00E54D2B" w:rsidRPr="005C5FA0">
        <w:rPr>
          <w:rFonts w:ascii="Verdana" w:hAnsi="Verdana"/>
          <w:sz w:val="22"/>
          <w:szCs w:val="22"/>
        </w:rPr>
        <w:tab/>
        <w:t>6</w:t>
      </w:r>
    </w:p>
    <w:p w14:paraId="7AB75949" w14:textId="0AB6F4F1" w:rsidR="00E54D2B" w:rsidRPr="005C5FA0" w:rsidRDefault="00722D00" w:rsidP="00577B38">
      <w:pPr>
        <w:pStyle w:val="AcctTtl"/>
        <w:tabs>
          <w:tab w:val="clear" w:pos="7920"/>
          <w:tab w:val="clear" w:pos="9360"/>
          <w:tab w:val="right" w:leader="dot" w:pos="9350"/>
        </w:tabs>
        <w:rPr>
          <w:rFonts w:ascii="Verdana" w:hAnsi="Verdana"/>
          <w:sz w:val="22"/>
          <w:szCs w:val="22"/>
        </w:rPr>
      </w:pPr>
      <w:hyperlink w:anchor="SAUP_VS_OTHER_AUP" w:history="1">
        <w:r w:rsidR="00E54D2B" w:rsidRPr="005C5FA0">
          <w:rPr>
            <w:rStyle w:val="Hyperlink"/>
            <w:rFonts w:ascii="Verdana" w:hAnsi="Verdana"/>
            <w:sz w:val="22"/>
            <w:szCs w:val="22"/>
          </w:rPr>
          <w:t>Statewide AUPs Compared</w:t>
        </w:r>
        <w:r w:rsidR="00F674E9" w:rsidRPr="005C5FA0">
          <w:rPr>
            <w:rStyle w:val="Hyperlink"/>
            <w:rFonts w:ascii="Verdana" w:hAnsi="Verdana"/>
            <w:sz w:val="22"/>
            <w:szCs w:val="22"/>
          </w:rPr>
          <w:t xml:space="preserve"> w</w:t>
        </w:r>
        <w:r w:rsidR="00E54D2B" w:rsidRPr="005C5FA0">
          <w:rPr>
            <w:rStyle w:val="Hyperlink"/>
            <w:rFonts w:ascii="Verdana" w:hAnsi="Verdana"/>
            <w:sz w:val="22"/>
            <w:szCs w:val="22"/>
          </w:rPr>
          <w:t>ith Other Required AUP Types</w:t>
        </w:r>
      </w:hyperlink>
      <w:r w:rsidR="00E54D2B" w:rsidRPr="005C5FA0">
        <w:rPr>
          <w:rFonts w:ascii="Verdana" w:hAnsi="Verdana"/>
          <w:sz w:val="22"/>
          <w:szCs w:val="22"/>
        </w:rPr>
        <w:tab/>
        <w:t>7</w:t>
      </w:r>
    </w:p>
    <w:p w14:paraId="2D27D9CD" w14:textId="6F939E48" w:rsidR="00F674E9" w:rsidRPr="005C5FA0" w:rsidRDefault="00722D00" w:rsidP="00577B38">
      <w:pPr>
        <w:pStyle w:val="AcctTtl"/>
        <w:tabs>
          <w:tab w:val="clear" w:pos="7920"/>
          <w:tab w:val="clear" w:pos="9360"/>
          <w:tab w:val="right" w:leader="dot" w:pos="9350"/>
        </w:tabs>
        <w:rPr>
          <w:rFonts w:ascii="Verdana" w:hAnsi="Verdana"/>
          <w:sz w:val="22"/>
          <w:szCs w:val="22"/>
        </w:rPr>
      </w:pPr>
      <w:hyperlink w:anchor="OPTIONS_ALTERNATIVES" w:history="1">
        <w:r w:rsidR="00F674E9" w:rsidRPr="005C5FA0">
          <w:rPr>
            <w:rStyle w:val="Hyperlink"/>
            <w:rFonts w:ascii="Verdana" w:hAnsi="Verdana"/>
            <w:sz w:val="22"/>
            <w:szCs w:val="22"/>
          </w:rPr>
          <w:t>Options and Alternatives</w:t>
        </w:r>
      </w:hyperlink>
      <w:r w:rsidR="00F674E9" w:rsidRPr="005C5FA0">
        <w:rPr>
          <w:rFonts w:ascii="Verdana" w:hAnsi="Verdana"/>
          <w:sz w:val="22"/>
          <w:szCs w:val="22"/>
        </w:rPr>
        <w:tab/>
        <w:t>7</w:t>
      </w:r>
    </w:p>
    <w:p w14:paraId="46204768" w14:textId="27EB0882" w:rsidR="00F674E9" w:rsidRPr="005C5FA0" w:rsidRDefault="00722D00" w:rsidP="00577B38">
      <w:pPr>
        <w:pStyle w:val="AcctTtl"/>
        <w:tabs>
          <w:tab w:val="clear" w:pos="7920"/>
          <w:tab w:val="clear" w:pos="9360"/>
          <w:tab w:val="right" w:leader="dot" w:pos="9350"/>
        </w:tabs>
        <w:rPr>
          <w:rFonts w:ascii="Verdana" w:hAnsi="Verdana"/>
          <w:sz w:val="22"/>
          <w:szCs w:val="22"/>
        </w:rPr>
      </w:pPr>
      <w:hyperlink w:anchor="USING_INT_AUD_OTHER_PRACTITIONERS" w:history="1">
        <w:r w:rsidR="00F674E9" w:rsidRPr="005C5FA0">
          <w:rPr>
            <w:rStyle w:val="Hyperlink"/>
            <w:rFonts w:ascii="Verdana" w:hAnsi="Verdana"/>
            <w:sz w:val="22"/>
            <w:szCs w:val="22"/>
          </w:rPr>
          <w:t>Using the Work of Internal Auditors or Other Practitioners</w:t>
        </w:r>
      </w:hyperlink>
      <w:r w:rsidR="00F674E9" w:rsidRPr="005C5FA0">
        <w:rPr>
          <w:rFonts w:ascii="Verdana" w:hAnsi="Verdana"/>
          <w:sz w:val="22"/>
          <w:szCs w:val="22"/>
        </w:rPr>
        <w:tab/>
        <w:t>8</w:t>
      </w:r>
    </w:p>
    <w:p w14:paraId="3811080F" w14:textId="160E92A0" w:rsidR="00F674E9" w:rsidRPr="005C5FA0" w:rsidRDefault="00722D00" w:rsidP="00577B38">
      <w:pPr>
        <w:pStyle w:val="AcctTtl"/>
        <w:tabs>
          <w:tab w:val="clear" w:pos="7920"/>
          <w:tab w:val="clear" w:pos="9360"/>
          <w:tab w:val="right" w:leader="dot" w:pos="9350"/>
        </w:tabs>
        <w:rPr>
          <w:rFonts w:ascii="Verdana" w:hAnsi="Verdana"/>
          <w:sz w:val="22"/>
          <w:szCs w:val="22"/>
        </w:rPr>
      </w:pPr>
      <w:hyperlink w:anchor="SPECIAL_CONSIDERATION_SCHOOL_BOARD" w:history="1">
        <w:r w:rsidR="00F674E9" w:rsidRPr="005C5FA0">
          <w:rPr>
            <w:rStyle w:val="Hyperlink"/>
            <w:rFonts w:ascii="Verdana" w:hAnsi="Verdana"/>
            <w:sz w:val="22"/>
            <w:szCs w:val="22"/>
          </w:rPr>
          <w:t>Special Consideration for School Boards</w:t>
        </w:r>
      </w:hyperlink>
      <w:r w:rsidR="00F674E9" w:rsidRPr="005C5FA0">
        <w:rPr>
          <w:rFonts w:ascii="Verdana" w:hAnsi="Verdana"/>
          <w:sz w:val="22"/>
          <w:szCs w:val="22"/>
        </w:rPr>
        <w:tab/>
        <w:t>9</w:t>
      </w:r>
    </w:p>
    <w:p w14:paraId="78CF098A" w14:textId="090DAC40" w:rsidR="0030179F" w:rsidRPr="005C5FA0" w:rsidRDefault="00B829AC" w:rsidP="00577B38">
      <w:pPr>
        <w:pStyle w:val="AcctTtl"/>
        <w:tabs>
          <w:tab w:val="clear" w:pos="7920"/>
        </w:tabs>
        <w:rPr>
          <w:rFonts w:ascii="Verdana" w:hAnsi="Verdana"/>
          <w:sz w:val="22"/>
          <w:szCs w:val="22"/>
        </w:rPr>
      </w:pPr>
      <w:r w:rsidRPr="005C5FA0">
        <w:rPr>
          <w:rFonts w:ascii="Verdana" w:hAnsi="Verdana"/>
          <w:sz w:val="22"/>
          <w:szCs w:val="22"/>
        </w:rPr>
        <w:t>Procedures</w:t>
      </w:r>
      <w:r w:rsidR="00577B38" w:rsidRPr="005C5FA0">
        <w:rPr>
          <w:rFonts w:ascii="Verdana" w:hAnsi="Verdana"/>
          <w:sz w:val="22"/>
          <w:szCs w:val="22"/>
        </w:rPr>
        <w:tab/>
      </w:r>
      <w:r w:rsidRPr="005C5FA0">
        <w:rPr>
          <w:rFonts w:ascii="Verdana" w:hAnsi="Verdana"/>
          <w:sz w:val="22"/>
          <w:szCs w:val="22"/>
        </w:rPr>
        <w:t>10</w:t>
      </w:r>
    </w:p>
    <w:p w14:paraId="6C95B81D" w14:textId="08F4F83B" w:rsidR="00F674E9" w:rsidRPr="005C5FA0" w:rsidRDefault="00722D00" w:rsidP="00C8375C">
      <w:pPr>
        <w:pStyle w:val="AcctTtl"/>
        <w:numPr>
          <w:ilvl w:val="0"/>
          <w:numId w:val="76"/>
        </w:numPr>
        <w:tabs>
          <w:tab w:val="clear" w:pos="7920"/>
        </w:tabs>
        <w:ind w:left="1080" w:hanging="720"/>
        <w:rPr>
          <w:rFonts w:ascii="Verdana" w:hAnsi="Verdana"/>
          <w:sz w:val="22"/>
          <w:szCs w:val="22"/>
        </w:rPr>
      </w:pPr>
      <w:hyperlink w:anchor="WRITTEN_POLICIES_PROCEDURES" w:history="1">
        <w:r w:rsidR="00F674E9" w:rsidRPr="005C5FA0">
          <w:rPr>
            <w:rStyle w:val="Hyperlink"/>
            <w:rFonts w:ascii="Verdana" w:hAnsi="Verdana"/>
            <w:sz w:val="22"/>
            <w:szCs w:val="22"/>
          </w:rPr>
          <w:t>Written Policies and Procedures</w:t>
        </w:r>
      </w:hyperlink>
      <w:r w:rsidR="00F674E9" w:rsidRPr="005C5FA0">
        <w:rPr>
          <w:rFonts w:ascii="Verdana" w:hAnsi="Verdana"/>
          <w:sz w:val="22"/>
          <w:szCs w:val="22"/>
        </w:rPr>
        <w:tab/>
        <w:t>10</w:t>
      </w:r>
    </w:p>
    <w:p w14:paraId="6C226533" w14:textId="7DD97AFE" w:rsidR="00221C71" w:rsidRPr="005C5FA0" w:rsidRDefault="00722D00" w:rsidP="00C8375C">
      <w:pPr>
        <w:pStyle w:val="AcctTtl"/>
        <w:numPr>
          <w:ilvl w:val="0"/>
          <w:numId w:val="76"/>
        </w:numPr>
        <w:tabs>
          <w:tab w:val="clear" w:pos="7920"/>
        </w:tabs>
        <w:ind w:left="1080" w:hanging="720"/>
        <w:rPr>
          <w:rFonts w:ascii="Verdana" w:hAnsi="Verdana"/>
        </w:rPr>
      </w:pPr>
      <w:hyperlink w:anchor="BOARD_FINANCE_COMMITTEE" w:history="1">
        <w:r w:rsidR="00F674E9" w:rsidRPr="005C5FA0">
          <w:rPr>
            <w:rStyle w:val="Hyperlink"/>
            <w:rFonts w:ascii="Verdana" w:hAnsi="Verdana"/>
            <w:sz w:val="22"/>
            <w:szCs w:val="22"/>
          </w:rPr>
          <w:t>Board or Finance Committee</w:t>
        </w:r>
      </w:hyperlink>
      <w:r w:rsidR="00F674E9" w:rsidRPr="005C5FA0">
        <w:rPr>
          <w:rFonts w:ascii="Verdana" w:hAnsi="Verdana"/>
          <w:sz w:val="22"/>
          <w:szCs w:val="22"/>
        </w:rPr>
        <w:tab/>
        <w:t>11</w:t>
      </w:r>
    </w:p>
    <w:p w14:paraId="2AA6ED33" w14:textId="278D3FD9" w:rsidR="00F674E9" w:rsidRPr="005C5FA0" w:rsidRDefault="00722D00" w:rsidP="00C8375C">
      <w:pPr>
        <w:pStyle w:val="AcctTtl"/>
        <w:numPr>
          <w:ilvl w:val="0"/>
          <w:numId w:val="76"/>
        </w:numPr>
        <w:tabs>
          <w:tab w:val="clear" w:pos="7920"/>
        </w:tabs>
        <w:ind w:left="1080" w:hanging="720"/>
        <w:rPr>
          <w:rFonts w:ascii="Verdana" w:hAnsi="Verdana"/>
        </w:rPr>
      </w:pPr>
      <w:hyperlink w:anchor="BANK_RECONCILIATIONS" w:history="1">
        <w:r w:rsidR="00F674E9" w:rsidRPr="005C5FA0">
          <w:rPr>
            <w:rStyle w:val="Hyperlink"/>
            <w:rFonts w:ascii="Verdana" w:hAnsi="Verdana"/>
          </w:rPr>
          <w:t>Bank Reconciliations</w:t>
        </w:r>
      </w:hyperlink>
      <w:r w:rsidR="00F674E9" w:rsidRPr="005C5FA0">
        <w:rPr>
          <w:rFonts w:ascii="Verdana" w:hAnsi="Verdana"/>
        </w:rPr>
        <w:tab/>
        <w:t>12</w:t>
      </w:r>
    </w:p>
    <w:p w14:paraId="2572C77A" w14:textId="0A75494D" w:rsidR="00F674E9" w:rsidRPr="005C5FA0" w:rsidRDefault="00722D00" w:rsidP="00C8375C">
      <w:pPr>
        <w:pStyle w:val="AcctTtl"/>
        <w:numPr>
          <w:ilvl w:val="0"/>
          <w:numId w:val="76"/>
        </w:numPr>
        <w:tabs>
          <w:tab w:val="clear" w:pos="7920"/>
        </w:tabs>
        <w:ind w:left="1080" w:hanging="720"/>
        <w:rPr>
          <w:rFonts w:ascii="Verdana" w:hAnsi="Verdana"/>
        </w:rPr>
      </w:pPr>
      <w:hyperlink w:anchor="COLLECTIONS" w:history="1">
        <w:r w:rsidR="00F674E9" w:rsidRPr="005C5FA0">
          <w:rPr>
            <w:rStyle w:val="Hyperlink"/>
            <w:rFonts w:ascii="Verdana" w:hAnsi="Verdana"/>
          </w:rPr>
          <w:t>Collections</w:t>
        </w:r>
      </w:hyperlink>
      <w:r w:rsidR="00F674E9" w:rsidRPr="005C5FA0">
        <w:rPr>
          <w:rFonts w:ascii="Verdana" w:hAnsi="Verdana"/>
        </w:rPr>
        <w:t xml:space="preserve"> </w:t>
      </w:r>
      <w:r w:rsidR="00F674E9" w:rsidRPr="005C5FA0">
        <w:rPr>
          <w:rFonts w:ascii="Verdana" w:hAnsi="Verdana"/>
        </w:rPr>
        <w:tab/>
        <w:t>13</w:t>
      </w:r>
    </w:p>
    <w:p w14:paraId="412B09DF" w14:textId="098B6538" w:rsidR="00F674E9" w:rsidRPr="005C5FA0" w:rsidRDefault="00722D00" w:rsidP="00C8375C">
      <w:pPr>
        <w:pStyle w:val="AcctTtl"/>
        <w:numPr>
          <w:ilvl w:val="0"/>
          <w:numId w:val="76"/>
        </w:numPr>
        <w:tabs>
          <w:tab w:val="clear" w:pos="7920"/>
        </w:tabs>
        <w:ind w:left="1080" w:hanging="720"/>
        <w:rPr>
          <w:rFonts w:ascii="Verdana" w:hAnsi="Verdana"/>
        </w:rPr>
      </w:pPr>
      <w:hyperlink w:anchor="NONPAYROLL_DISBURSEMENTS" w:history="1">
        <w:r w:rsidR="00F674E9" w:rsidRPr="005C5FA0">
          <w:rPr>
            <w:rStyle w:val="Hyperlink"/>
            <w:rFonts w:ascii="Verdana" w:hAnsi="Verdana"/>
          </w:rPr>
          <w:t>Non-Payroll Disbursements</w:t>
        </w:r>
      </w:hyperlink>
      <w:r w:rsidR="00F674E9" w:rsidRPr="005C5FA0">
        <w:rPr>
          <w:rFonts w:ascii="Verdana" w:hAnsi="Verdana"/>
        </w:rPr>
        <w:tab/>
        <w:t>14</w:t>
      </w:r>
    </w:p>
    <w:p w14:paraId="58766F9B" w14:textId="77777777" w:rsidR="003878EF" w:rsidRPr="005C5FA0" w:rsidRDefault="00722D00" w:rsidP="003878EF">
      <w:pPr>
        <w:pStyle w:val="AcctTtl"/>
        <w:numPr>
          <w:ilvl w:val="0"/>
          <w:numId w:val="76"/>
        </w:numPr>
        <w:tabs>
          <w:tab w:val="clear" w:pos="7920"/>
        </w:tabs>
        <w:ind w:left="1080" w:hanging="720"/>
        <w:rPr>
          <w:rFonts w:ascii="Verdana" w:hAnsi="Verdana"/>
        </w:rPr>
      </w:pPr>
      <w:hyperlink w:anchor="CARDS" w:history="1">
        <w:r w:rsidR="003878EF" w:rsidRPr="005C5FA0">
          <w:rPr>
            <w:rStyle w:val="Hyperlink"/>
            <w:rFonts w:ascii="Verdana" w:hAnsi="Verdana"/>
          </w:rPr>
          <w:t>Credit Cards/Debit Cards/Fuel Cards/Purchase Cards</w:t>
        </w:r>
      </w:hyperlink>
      <w:r w:rsidR="003878EF" w:rsidRPr="005C5FA0">
        <w:rPr>
          <w:rFonts w:ascii="Verdana" w:hAnsi="Verdana"/>
        </w:rPr>
        <w:tab/>
        <w:t>16</w:t>
      </w:r>
    </w:p>
    <w:p w14:paraId="00400B20" w14:textId="401CF113" w:rsidR="00F674E9" w:rsidRPr="005C5FA0" w:rsidRDefault="00722D00" w:rsidP="00C8375C">
      <w:pPr>
        <w:pStyle w:val="AcctTtl"/>
        <w:numPr>
          <w:ilvl w:val="0"/>
          <w:numId w:val="76"/>
        </w:numPr>
        <w:tabs>
          <w:tab w:val="clear" w:pos="7920"/>
        </w:tabs>
        <w:ind w:left="1080" w:hanging="720"/>
        <w:rPr>
          <w:rFonts w:ascii="Verdana" w:hAnsi="Verdana"/>
        </w:rPr>
      </w:pPr>
      <w:hyperlink w:anchor="TRAVEL_RELATED_REIMBURSEMENTS" w:history="1">
        <w:r w:rsidR="00F674E9" w:rsidRPr="005C5FA0">
          <w:rPr>
            <w:rStyle w:val="Hyperlink"/>
            <w:rFonts w:ascii="Verdana" w:hAnsi="Verdana"/>
          </w:rPr>
          <w:t>Travel and Travel-Related Expense Reimbursements</w:t>
        </w:r>
      </w:hyperlink>
      <w:r w:rsidR="00F674E9" w:rsidRPr="005C5FA0">
        <w:rPr>
          <w:rFonts w:ascii="Verdana" w:hAnsi="Verdana"/>
        </w:rPr>
        <w:t xml:space="preserve"> </w:t>
      </w:r>
      <w:r w:rsidR="00F674E9" w:rsidRPr="005C5FA0">
        <w:rPr>
          <w:rFonts w:ascii="Verdana" w:hAnsi="Verdana"/>
        </w:rPr>
        <w:tab/>
        <w:t>1</w:t>
      </w:r>
      <w:r w:rsidR="00F734A5" w:rsidRPr="005C5FA0">
        <w:rPr>
          <w:rFonts w:ascii="Verdana" w:hAnsi="Verdana"/>
        </w:rPr>
        <w:t>7</w:t>
      </w:r>
    </w:p>
    <w:p w14:paraId="6E7C3488" w14:textId="6816C204" w:rsidR="00F674E9" w:rsidRPr="005C5FA0" w:rsidRDefault="00722D00" w:rsidP="00C8375C">
      <w:pPr>
        <w:pStyle w:val="AcctTtl"/>
        <w:numPr>
          <w:ilvl w:val="0"/>
          <w:numId w:val="76"/>
        </w:numPr>
        <w:tabs>
          <w:tab w:val="clear" w:pos="7920"/>
        </w:tabs>
        <w:ind w:left="1080" w:hanging="720"/>
        <w:rPr>
          <w:rFonts w:ascii="Verdana" w:hAnsi="Verdana"/>
        </w:rPr>
      </w:pPr>
      <w:hyperlink w:anchor="CONTRACTS" w:history="1">
        <w:r w:rsidR="00F674E9" w:rsidRPr="005C5FA0">
          <w:rPr>
            <w:rStyle w:val="Hyperlink"/>
            <w:rFonts w:ascii="Verdana" w:hAnsi="Verdana"/>
          </w:rPr>
          <w:t>Contracts</w:t>
        </w:r>
      </w:hyperlink>
      <w:r w:rsidR="00F674E9" w:rsidRPr="005C5FA0">
        <w:rPr>
          <w:rFonts w:ascii="Verdana" w:hAnsi="Verdana"/>
        </w:rPr>
        <w:tab/>
        <w:t>17</w:t>
      </w:r>
    </w:p>
    <w:p w14:paraId="2C866116" w14:textId="7586EBF3" w:rsidR="00F674E9" w:rsidRPr="005C5FA0" w:rsidRDefault="00722D00" w:rsidP="00C8375C">
      <w:pPr>
        <w:pStyle w:val="AcctTtl"/>
        <w:numPr>
          <w:ilvl w:val="0"/>
          <w:numId w:val="76"/>
        </w:numPr>
        <w:tabs>
          <w:tab w:val="clear" w:pos="7920"/>
        </w:tabs>
        <w:ind w:left="1080" w:hanging="720"/>
        <w:rPr>
          <w:rFonts w:ascii="Verdana" w:hAnsi="Verdana"/>
        </w:rPr>
      </w:pPr>
      <w:hyperlink w:anchor="PAYROLL_PERSONNEL" w:history="1">
        <w:r w:rsidR="00F674E9" w:rsidRPr="005C5FA0">
          <w:rPr>
            <w:rStyle w:val="Hyperlink"/>
            <w:rFonts w:ascii="Verdana" w:hAnsi="Verdana"/>
          </w:rPr>
          <w:t>Payroll and Personnel</w:t>
        </w:r>
      </w:hyperlink>
      <w:r w:rsidR="00F674E9" w:rsidRPr="005C5FA0">
        <w:rPr>
          <w:rFonts w:ascii="Verdana" w:hAnsi="Verdana"/>
        </w:rPr>
        <w:tab/>
        <w:t>18</w:t>
      </w:r>
    </w:p>
    <w:p w14:paraId="7EA24756" w14:textId="62211CE5" w:rsidR="00C8375C" w:rsidRPr="005C5FA0" w:rsidRDefault="00722D00" w:rsidP="00C8375C">
      <w:pPr>
        <w:pStyle w:val="AcctTtl"/>
        <w:numPr>
          <w:ilvl w:val="0"/>
          <w:numId w:val="76"/>
        </w:numPr>
        <w:tabs>
          <w:tab w:val="clear" w:pos="7920"/>
        </w:tabs>
        <w:ind w:left="1080" w:hanging="720"/>
        <w:rPr>
          <w:rFonts w:ascii="Verdana" w:hAnsi="Verdana"/>
        </w:rPr>
      </w:pPr>
      <w:hyperlink w:anchor="ETHICS" w:history="1">
        <w:r w:rsidR="00F32806" w:rsidRPr="005C5FA0">
          <w:rPr>
            <w:rStyle w:val="Hyperlink"/>
            <w:rFonts w:ascii="Verdana" w:hAnsi="Verdana"/>
          </w:rPr>
          <w:t>Ethics</w:t>
        </w:r>
      </w:hyperlink>
      <w:r w:rsidR="00C8375C" w:rsidRPr="005C5FA0">
        <w:rPr>
          <w:rFonts w:ascii="Verdana" w:hAnsi="Verdana"/>
        </w:rPr>
        <w:tab/>
        <w:t>19</w:t>
      </w:r>
    </w:p>
    <w:p w14:paraId="78C6E0BB" w14:textId="757673EA" w:rsidR="004E39BC" w:rsidRPr="005C5FA0" w:rsidRDefault="00722D00" w:rsidP="00263767">
      <w:pPr>
        <w:pStyle w:val="AcctTtl"/>
        <w:numPr>
          <w:ilvl w:val="0"/>
          <w:numId w:val="76"/>
        </w:numPr>
        <w:tabs>
          <w:tab w:val="clear" w:pos="7920"/>
        </w:tabs>
        <w:ind w:left="1080" w:hanging="720"/>
        <w:jc w:val="both"/>
        <w:rPr>
          <w:rFonts w:ascii="Verdana" w:hAnsi="Verdana"/>
        </w:rPr>
      </w:pPr>
      <w:hyperlink w:anchor="DEBT_SERVICE" w:history="1">
        <w:r w:rsidR="00F32806" w:rsidRPr="005C5FA0">
          <w:rPr>
            <w:rStyle w:val="Hyperlink"/>
            <w:rFonts w:ascii="Verdana" w:hAnsi="Verdana"/>
          </w:rPr>
          <w:t>Debt Service</w:t>
        </w:r>
      </w:hyperlink>
      <w:r w:rsidR="00F32806" w:rsidRPr="005C5FA0">
        <w:rPr>
          <w:rFonts w:ascii="Verdana" w:hAnsi="Verdana"/>
        </w:rPr>
        <w:tab/>
        <w:t>19</w:t>
      </w:r>
    </w:p>
    <w:p w14:paraId="34501898" w14:textId="2506BCE9" w:rsidR="00F32806" w:rsidRPr="005C5FA0" w:rsidRDefault="00722D00" w:rsidP="00263767">
      <w:pPr>
        <w:pStyle w:val="AcctTtl"/>
        <w:numPr>
          <w:ilvl w:val="0"/>
          <w:numId w:val="76"/>
        </w:numPr>
        <w:tabs>
          <w:tab w:val="clear" w:pos="7920"/>
        </w:tabs>
        <w:ind w:left="1080" w:hanging="720"/>
        <w:jc w:val="both"/>
        <w:rPr>
          <w:rFonts w:ascii="Verdana" w:hAnsi="Verdana"/>
        </w:rPr>
      </w:pPr>
      <w:hyperlink w:anchor="FRAUD_NOTICE" w:history="1">
        <w:r w:rsidR="00F32806" w:rsidRPr="005C5FA0">
          <w:rPr>
            <w:rStyle w:val="Hyperlink"/>
            <w:rFonts w:ascii="Verdana" w:hAnsi="Verdana"/>
          </w:rPr>
          <w:t>Fraud Notice</w:t>
        </w:r>
      </w:hyperlink>
      <w:r w:rsidR="00F32806" w:rsidRPr="005C5FA0">
        <w:rPr>
          <w:rFonts w:ascii="Verdana" w:hAnsi="Verdana"/>
        </w:rPr>
        <w:tab/>
        <w:t>20</w:t>
      </w:r>
    </w:p>
    <w:p w14:paraId="785264AA" w14:textId="28996EE8" w:rsidR="00F32806" w:rsidRPr="005C5FA0" w:rsidRDefault="00722D00" w:rsidP="00263767">
      <w:pPr>
        <w:pStyle w:val="AcctTtl"/>
        <w:numPr>
          <w:ilvl w:val="0"/>
          <w:numId w:val="76"/>
        </w:numPr>
        <w:tabs>
          <w:tab w:val="clear" w:pos="7920"/>
        </w:tabs>
        <w:ind w:left="1080" w:hanging="720"/>
        <w:jc w:val="both"/>
        <w:rPr>
          <w:rFonts w:ascii="Verdana" w:hAnsi="Verdana"/>
        </w:rPr>
      </w:pPr>
      <w:hyperlink w:anchor="INFORMATION_TECHNOLOGY" w:history="1">
        <w:r w:rsidR="00F32806" w:rsidRPr="005C5FA0">
          <w:rPr>
            <w:rStyle w:val="Hyperlink"/>
            <w:rFonts w:ascii="Verdana" w:hAnsi="Verdana"/>
          </w:rPr>
          <w:t>Information Technology Disaster Recovery/Business Continuity</w:t>
        </w:r>
      </w:hyperlink>
      <w:r w:rsidR="00F32806" w:rsidRPr="005C5FA0">
        <w:rPr>
          <w:rFonts w:ascii="Verdana" w:hAnsi="Verdana"/>
        </w:rPr>
        <w:tab/>
        <w:t>20</w:t>
      </w:r>
    </w:p>
    <w:p w14:paraId="10DE8903" w14:textId="23E4C7A7" w:rsidR="00F32806" w:rsidRPr="005C5FA0" w:rsidRDefault="00722D00" w:rsidP="00263767">
      <w:pPr>
        <w:pStyle w:val="AcctTtl"/>
        <w:numPr>
          <w:ilvl w:val="0"/>
          <w:numId w:val="76"/>
        </w:numPr>
        <w:tabs>
          <w:tab w:val="clear" w:pos="7920"/>
        </w:tabs>
        <w:ind w:left="1080" w:hanging="720"/>
        <w:jc w:val="both"/>
        <w:rPr>
          <w:rFonts w:ascii="Verdana" w:hAnsi="Verdana"/>
        </w:rPr>
      </w:pPr>
      <w:hyperlink w:anchor="PREVENTION_SEXUAL_HARASSMENT" w:history="1">
        <w:r w:rsidR="00F32806" w:rsidRPr="005C5FA0">
          <w:rPr>
            <w:rStyle w:val="Hyperlink"/>
            <w:rFonts w:ascii="Verdana" w:hAnsi="Verdana"/>
          </w:rPr>
          <w:t>Prevention of Sexual Harassment</w:t>
        </w:r>
      </w:hyperlink>
      <w:r w:rsidR="00F32806" w:rsidRPr="005C5FA0">
        <w:rPr>
          <w:rFonts w:ascii="Verdana" w:hAnsi="Verdana"/>
        </w:rPr>
        <w:tab/>
        <w:t>21</w:t>
      </w:r>
    </w:p>
    <w:p w14:paraId="60ECE0F5" w14:textId="77777777" w:rsidR="004E39BC" w:rsidRPr="005C5FA0" w:rsidRDefault="004E39BC" w:rsidP="00263767">
      <w:pPr>
        <w:jc w:val="both"/>
        <w:rPr>
          <w:rFonts w:ascii="Verdana" w:hAnsi="Verdana" w:cs="Times New Roman"/>
          <w:sz w:val="24"/>
          <w:szCs w:val="24"/>
        </w:rPr>
      </w:pPr>
    </w:p>
    <w:p w14:paraId="16CCAA67" w14:textId="39ADF06A" w:rsidR="004E39BC" w:rsidRPr="005C5FA0" w:rsidRDefault="004E39BC" w:rsidP="00263767">
      <w:pPr>
        <w:jc w:val="both"/>
        <w:rPr>
          <w:rFonts w:ascii="Verdana" w:hAnsi="Verdana" w:cs="Times New Roman"/>
          <w:sz w:val="24"/>
          <w:szCs w:val="24"/>
        </w:rPr>
        <w:sectPr w:rsidR="004E39BC" w:rsidRPr="005C5FA0" w:rsidSect="007D679A">
          <w:headerReference w:type="default" r:id="rId10"/>
          <w:footerReference w:type="default" r:id="rId11"/>
          <w:pgSz w:w="12240" w:h="15840"/>
          <w:pgMar w:top="1973" w:right="1440" w:bottom="1440" w:left="1440" w:header="1080" w:footer="720" w:gutter="0"/>
          <w:cols w:space="720"/>
          <w:docGrid w:linePitch="360"/>
        </w:sectPr>
      </w:pPr>
    </w:p>
    <w:p w14:paraId="19B807E4" w14:textId="57397D20" w:rsidR="00507EB3" w:rsidRPr="005C5FA0" w:rsidRDefault="00507EB3" w:rsidP="00507EB3">
      <w:pPr>
        <w:pStyle w:val="SectionHeader"/>
        <w:rPr>
          <w:rFonts w:ascii="Verdana" w:hAnsi="Verdana"/>
        </w:rPr>
      </w:pPr>
      <w:r w:rsidRPr="005C5FA0">
        <w:rPr>
          <w:rFonts w:ascii="Verdana" w:hAnsi="Verdana"/>
        </w:rPr>
        <w:lastRenderedPageBreak/>
        <w:t>IN</w:t>
      </w:r>
      <w:r w:rsidR="00DD55C7" w:rsidRPr="005C5FA0">
        <w:rPr>
          <w:rFonts w:ascii="Verdana" w:hAnsi="Verdana"/>
        </w:rPr>
        <w:t>STRUCTIONS</w:t>
      </w:r>
    </w:p>
    <w:p w14:paraId="441362EF" w14:textId="77777777" w:rsidR="00507EB3" w:rsidRPr="005C5FA0" w:rsidRDefault="00507EB3" w:rsidP="00507EB3">
      <w:pPr>
        <w:pBdr>
          <w:bottom w:val="single" w:sz="18" w:space="1" w:color="053A63"/>
        </w:pBdr>
        <w:jc w:val="center"/>
        <w:rPr>
          <w:rFonts w:ascii="Verdana" w:hAnsi="Verdana"/>
        </w:rPr>
      </w:pPr>
    </w:p>
    <w:p w14:paraId="1E537236" w14:textId="56F94162" w:rsidR="002733E5" w:rsidRPr="005C5FA0" w:rsidRDefault="002733E5" w:rsidP="00223C6C">
      <w:pPr>
        <w:jc w:val="both"/>
        <w:rPr>
          <w:rFonts w:ascii="Verdana" w:hAnsi="Verdana" w:cs="Times New Roman"/>
          <w:b/>
          <w:i/>
          <w:u w:val="single"/>
        </w:rPr>
      </w:pPr>
      <w:bookmarkStart w:id="1" w:name="INTRO"/>
      <w:r w:rsidRPr="005C5FA0">
        <w:rPr>
          <w:rFonts w:ascii="Verdana" w:hAnsi="Verdana" w:cs="Times New Roman"/>
          <w:b/>
          <w:i/>
          <w:u w:val="single"/>
        </w:rPr>
        <w:t>Introduction</w:t>
      </w:r>
      <w:bookmarkEnd w:id="1"/>
      <w:r w:rsidR="00773CBA" w:rsidRPr="005C5FA0">
        <w:rPr>
          <w:rFonts w:ascii="Verdana" w:hAnsi="Verdana" w:cs="Times New Roman"/>
          <w:b/>
          <w:i/>
          <w:u w:val="single"/>
        </w:rPr>
        <w:t xml:space="preserve"> </w:t>
      </w:r>
    </w:p>
    <w:p w14:paraId="02513E50" w14:textId="3C5FE4DC" w:rsidR="00773CBA" w:rsidRPr="005C5FA0" w:rsidRDefault="00DC0947" w:rsidP="00773CBA">
      <w:pPr>
        <w:jc w:val="both"/>
        <w:rPr>
          <w:rFonts w:ascii="Verdana" w:hAnsi="Verdana" w:cs="Times New Roman"/>
          <w:b/>
        </w:rPr>
      </w:pPr>
      <w:r w:rsidRPr="005C5FA0">
        <w:rPr>
          <w:rFonts w:ascii="Verdana" w:hAnsi="Verdana" w:cs="Times New Roman"/>
        </w:rPr>
        <w:t xml:space="preserve">The </w:t>
      </w:r>
      <w:r w:rsidR="00404DDC" w:rsidRPr="005C5FA0">
        <w:rPr>
          <w:rFonts w:ascii="Verdana" w:hAnsi="Verdana" w:cs="Times New Roman"/>
        </w:rPr>
        <w:t xml:space="preserve">Louisiana </w:t>
      </w:r>
      <w:r w:rsidR="00C94CA3" w:rsidRPr="005C5FA0">
        <w:rPr>
          <w:rFonts w:ascii="Verdana" w:hAnsi="Verdana" w:cs="Times New Roman"/>
        </w:rPr>
        <w:t xml:space="preserve">Legislative </w:t>
      </w:r>
      <w:r w:rsidR="00404DDC" w:rsidRPr="005C5FA0">
        <w:rPr>
          <w:rFonts w:ascii="Verdana" w:hAnsi="Verdana" w:cs="Times New Roman"/>
        </w:rPr>
        <w:t>Auditor</w:t>
      </w:r>
      <w:r w:rsidR="00023AF8" w:rsidRPr="005C5FA0">
        <w:rPr>
          <w:rFonts w:ascii="Verdana" w:hAnsi="Verdana" w:cs="Times New Roman"/>
        </w:rPr>
        <w:t xml:space="preserve"> (LLA)</w:t>
      </w:r>
      <w:r w:rsidR="001F4CC6" w:rsidRPr="005C5FA0">
        <w:rPr>
          <w:rFonts w:ascii="Verdana" w:hAnsi="Verdana" w:cs="Times New Roman"/>
        </w:rPr>
        <w:t xml:space="preserve"> has prescribed statewide</w:t>
      </w:r>
      <w:r w:rsidR="00404DDC" w:rsidRPr="005C5FA0">
        <w:rPr>
          <w:rFonts w:ascii="Verdana" w:hAnsi="Verdana" w:cs="Times New Roman"/>
        </w:rPr>
        <w:t xml:space="preserve"> </w:t>
      </w:r>
      <w:r w:rsidRPr="005C5FA0">
        <w:rPr>
          <w:rFonts w:ascii="Verdana" w:hAnsi="Verdana" w:cs="Times New Roman"/>
        </w:rPr>
        <w:t>agreed-upon procedures</w:t>
      </w:r>
      <w:r w:rsidR="00C77982" w:rsidRPr="005C5FA0">
        <w:rPr>
          <w:rFonts w:ascii="Verdana" w:hAnsi="Verdana" w:cs="Times New Roman"/>
        </w:rPr>
        <w:t xml:space="preserve"> (AUPs)</w:t>
      </w:r>
      <w:r w:rsidRPr="005C5FA0">
        <w:rPr>
          <w:rFonts w:ascii="Verdana" w:hAnsi="Verdana" w:cs="Times New Roman"/>
        </w:rPr>
        <w:t xml:space="preserve"> below</w:t>
      </w:r>
      <w:r w:rsidR="00404DDC" w:rsidRPr="005C5FA0">
        <w:rPr>
          <w:rFonts w:ascii="Verdana" w:hAnsi="Verdana" w:cs="Times New Roman"/>
        </w:rPr>
        <w:t>, which</w:t>
      </w:r>
      <w:r w:rsidRPr="005C5FA0">
        <w:rPr>
          <w:rFonts w:ascii="Verdana" w:hAnsi="Verdana" w:cs="Times New Roman"/>
        </w:rPr>
        <w:t xml:space="preserve"> are intended to represent a minimum level of </w:t>
      </w:r>
      <w:r w:rsidR="00C77982" w:rsidRPr="005C5FA0">
        <w:rPr>
          <w:rFonts w:ascii="Verdana" w:hAnsi="Verdana" w:cs="Times New Roman"/>
        </w:rPr>
        <w:t xml:space="preserve">additional </w:t>
      </w:r>
      <w:r w:rsidRPr="005C5FA0">
        <w:rPr>
          <w:rFonts w:ascii="Verdana" w:hAnsi="Verdana" w:cs="Times New Roman"/>
        </w:rPr>
        <w:t xml:space="preserve">work to be performed </w:t>
      </w:r>
      <w:r w:rsidR="005F5CFD" w:rsidRPr="005C5FA0">
        <w:rPr>
          <w:rFonts w:ascii="Verdana" w:hAnsi="Verdana" w:cs="Times New Roman"/>
        </w:rPr>
        <w:t>at</w:t>
      </w:r>
      <w:r w:rsidRPr="005C5FA0">
        <w:rPr>
          <w:rFonts w:ascii="Verdana" w:hAnsi="Verdana" w:cs="Times New Roman"/>
        </w:rPr>
        <w:t xml:space="preserve"> those </w:t>
      </w:r>
      <w:r w:rsidR="001F332F" w:rsidRPr="005C5FA0">
        <w:rPr>
          <w:rFonts w:ascii="Verdana" w:hAnsi="Verdana" w:cs="Times New Roman"/>
        </w:rPr>
        <w:t xml:space="preserve">local </w:t>
      </w:r>
      <w:r w:rsidR="0092241F" w:rsidRPr="005C5FA0">
        <w:rPr>
          <w:rFonts w:ascii="Verdana" w:hAnsi="Verdana" w:cs="Times New Roman"/>
        </w:rPr>
        <w:t>entities (</w:t>
      </w:r>
      <w:r w:rsidRPr="005C5FA0">
        <w:rPr>
          <w:rFonts w:ascii="Verdana" w:hAnsi="Verdana" w:cs="Times New Roman"/>
        </w:rPr>
        <w:t xml:space="preserve">local governments </w:t>
      </w:r>
      <w:r w:rsidR="00C94CA3" w:rsidRPr="005C5FA0">
        <w:rPr>
          <w:rFonts w:ascii="Verdana" w:hAnsi="Verdana" w:cs="Times New Roman"/>
        </w:rPr>
        <w:t xml:space="preserve">and </w:t>
      </w:r>
      <w:r w:rsidR="0092241F" w:rsidRPr="005C5FA0">
        <w:rPr>
          <w:rFonts w:ascii="Verdana" w:hAnsi="Verdana" w:cs="Times New Roman"/>
        </w:rPr>
        <w:t xml:space="preserve">quasi-public organizations, including </w:t>
      </w:r>
      <w:r w:rsidR="00C94CA3" w:rsidRPr="005C5FA0">
        <w:rPr>
          <w:rFonts w:ascii="Verdana" w:hAnsi="Verdana" w:cs="Times New Roman"/>
        </w:rPr>
        <w:t>no</w:t>
      </w:r>
      <w:r w:rsidR="00AE2882" w:rsidRPr="005C5FA0">
        <w:rPr>
          <w:rFonts w:ascii="Verdana" w:hAnsi="Verdana" w:cs="Times New Roman"/>
        </w:rPr>
        <w:t>t-for-</w:t>
      </w:r>
      <w:r w:rsidR="00C94CA3" w:rsidRPr="005C5FA0">
        <w:rPr>
          <w:rFonts w:ascii="Verdana" w:hAnsi="Verdana" w:cs="Times New Roman"/>
        </w:rPr>
        <w:t>profit</w:t>
      </w:r>
      <w:r w:rsidR="00AE2882" w:rsidRPr="005C5FA0">
        <w:rPr>
          <w:rFonts w:ascii="Verdana" w:hAnsi="Verdana" w:cs="Times New Roman"/>
        </w:rPr>
        <w:t xml:space="preserve"> organizations</w:t>
      </w:r>
      <w:r w:rsidR="0092241F" w:rsidRPr="005C5FA0">
        <w:rPr>
          <w:rFonts w:ascii="Verdana" w:hAnsi="Verdana" w:cs="Times New Roman"/>
        </w:rPr>
        <w:t>)</w:t>
      </w:r>
      <w:r w:rsidR="00C94CA3" w:rsidRPr="005C5FA0">
        <w:rPr>
          <w:rFonts w:ascii="Verdana" w:hAnsi="Verdana" w:cs="Times New Roman"/>
        </w:rPr>
        <w:t xml:space="preserve"> that meet the legal requirement to have an audit under the Audit Law</w:t>
      </w:r>
      <w:r w:rsidR="00697F7D" w:rsidRPr="005C5FA0">
        <w:rPr>
          <w:rStyle w:val="FootnoteReference"/>
          <w:rFonts w:ascii="Verdana" w:hAnsi="Verdana" w:cs="Times New Roman"/>
        </w:rPr>
        <w:footnoteReference w:id="2"/>
      </w:r>
      <w:r w:rsidR="00A5584A" w:rsidRPr="005C5FA0">
        <w:rPr>
          <w:rFonts w:ascii="Verdana" w:hAnsi="Verdana" w:cs="Times New Roman"/>
        </w:rPr>
        <w:t xml:space="preserve"> (i.e., public funds totaling $500,000</w:t>
      </w:r>
      <w:r w:rsidR="00360777" w:rsidRPr="005C5FA0">
        <w:rPr>
          <w:rFonts w:ascii="Verdana" w:hAnsi="Verdana" w:cs="Times New Roman"/>
        </w:rPr>
        <w:t xml:space="preserve"> or more</w:t>
      </w:r>
      <w:r w:rsidR="00A5584A" w:rsidRPr="005C5FA0">
        <w:rPr>
          <w:rFonts w:ascii="Verdana" w:hAnsi="Verdana" w:cs="Times New Roman"/>
        </w:rPr>
        <w:t xml:space="preserve"> in revenues and other sources)</w:t>
      </w:r>
      <w:r w:rsidRPr="005C5FA0">
        <w:rPr>
          <w:rFonts w:ascii="Verdana" w:hAnsi="Verdana" w:cs="Times New Roman"/>
        </w:rPr>
        <w:t>.</w:t>
      </w:r>
      <w:r w:rsidR="00C94CA3" w:rsidRPr="005C5FA0">
        <w:rPr>
          <w:rFonts w:ascii="Verdana" w:hAnsi="Verdana" w:cs="Times New Roman"/>
        </w:rPr>
        <w:t xml:space="preserve"> </w:t>
      </w:r>
      <w:r w:rsidR="00773CBA" w:rsidRPr="005C5FA0">
        <w:rPr>
          <w:rFonts w:ascii="Verdana" w:hAnsi="Verdana" w:cs="Times New Roman"/>
          <w:b/>
        </w:rPr>
        <w:t xml:space="preserve">This update to the AUPs will be effective for those entities that have fiscal years ending </w:t>
      </w:r>
      <w:r w:rsidR="004E5C89" w:rsidRPr="005C5FA0">
        <w:rPr>
          <w:rFonts w:ascii="Verdana" w:hAnsi="Verdana" w:cs="Times New Roman"/>
          <w:b/>
        </w:rPr>
        <w:t xml:space="preserve">December 31, </w:t>
      </w:r>
      <w:r w:rsidR="00211F85" w:rsidRPr="005C5FA0">
        <w:rPr>
          <w:rFonts w:ascii="Verdana" w:hAnsi="Verdana" w:cs="Times New Roman"/>
          <w:b/>
        </w:rPr>
        <w:t xml:space="preserve">2022 </w:t>
      </w:r>
      <w:r w:rsidR="00773CBA" w:rsidRPr="005C5FA0">
        <w:rPr>
          <w:rFonts w:ascii="Verdana" w:hAnsi="Verdana" w:cs="Times New Roman"/>
          <w:b/>
        </w:rPr>
        <w:t xml:space="preserve">through </w:t>
      </w:r>
      <w:r w:rsidR="00697F7D" w:rsidRPr="005C5FA0">
        <w:rPr>
          <w:rFonts w:ascii="Verdana" w:hAnsi="Verdana" w:cs="Times New Roman"/>
          <w:b/>
        </w:rPr>
        <w:t xml:space="preserve">November </w:t>
      </w:r>
      <w:r w:rsidR="004E5C89" w:rsidRPr="005C5FA0">
        <w:rPr>
          <w:rFonts w:ascii="Verdana" w:hAnsi="Verdana" w:cs="Times New Roman"/>
          <w:b/>
        </w:rPr>
        <w:t xml:space="preserve">30, </w:t>
      </w:r>
      <w:r w:rsidR="00211F85" w:rsidRPr="005C5FA0">
        <w:rPr>
          <w:rFonts w:ascii="Verdana" w:hAnsi="Verdana" w:cs="Times New Roman"/>
          <w:b/>
        </w:rPr>
        <w:t>2023</w:t>
      </w:r>
      <w:r w:rsidR="000D4733" w:rsidRPr="005C5FA0">
        <w:rPr>
          <w:rFonts w:ascii="Verdana" w:hAnsi="Verdana" w:cs="Times New Roman"/>
          <w:b/>
        </w:rPr>
        <w:t xml:space="preserve"> (Year 5)</w:t>
      </w:r>
      <w:r w:rsidR="00773CBA" w:rsidRPr="005C5FA0">
        <w:rPr>
          <w:rFonts w:ascii="Verdana" w:hAnsi="Verdana" w:cs="Times New Roman"/>
          <w:b/>
        </w:rPr>
        <w:t>.</w:t>
      </w:r>
    </w:p>
    <w:p w14:paraId="645EA588" w14:textId="77777777" w:rsidR="000D4733" w:rsidRPr="005C5FA0" w:rsidRDefault="000D4733" w:rsidP="000D4733">
      <w:pPr>
        <w:jc w:val="both"/>
        <w:rPr>
          <w:rFonts w:ascii="Verdana" w:hAnsi="Verdana" w:cs="Times New Roman"/>
        </w:rPr>
      </w:pPr>
      <w:r w:rsidRPr="005C5FA0">
        <w:rPr>
          <w:rFonts w:ascii="Verdana" w:hAnsi="Verdana" w:cs="Times New Roman"/>
        </w:rPr>
        <w:t>The AUPs are not intended to address all areas of risk within an entity.  Instead, they are designed to address those areas that have resulted in the most frequent incidents of fraud, waste, or abuse of public funds.</w:t>
      </w:r>
    </w:p>
    <w:p w14:paraId="7C28387B" w14:textId="4BF0D04B" w:rsidR="00AE58DE" w:rsidRPr="005C5FA0" w:rsidRDefault="00AE58DE" w:rsidP="00E113EC">
      <w:pPr>
        <w:jc w:val="both"/>
        <w:rPr>
          <w:rFonts w:ascii="Verdana" w:hAnsi="Verdana" w:cs="Times New Roman"/>
        </w:rPr>
      </w:pPr>
      <w:r w:rsidRPr="005C5FA0">
        <w:rPr>
          <w:rFonts w:ascii="Verdana" w:hAnsi="Verdana" w:cs="Times New Roman"/>
        </w:rPr>
        <w:t>The AUPs are applicable to all fund types (governmental, proprietary, and fiduciary, including custodial funds administered by sheriffs or other tax collectors</w:t>
      </w:r>
      <w:r w:rsidR="000B0233" w:rsidRPr="005C5FA0">
        <w:rPr>
          <w:rFonts w:ascii="Verdana" w:hAnsi="Verdana" w:cs="Times New Roman"/>
        </w:rPr>
        <w:t>)</w:t>
      </w:r>
      <w:r w:rsidRPr="005C5FA0">
        <w:rPr>
          <w:rFonts w:ascii="Verdana" w:hAnsi="Verdana" w:cs="Times New Roman"/>
        </w:rPr>
        <w:t xml:space="preserve">. But see the </w:t>
      </w:r>
      <w:hyperlink w:anchor="EXEMPTION_SINGLE_AUDIT" w:history="1">
        <w:r w:rsidRPr="00813826">
          <w:rPr>
            <w:rStyle w:val="Hyperlink"/>
            <w:rFonts w:ascii="Verdana" w:hAnsi="Verdana" w:cs="Times New Roman"/>
          </w:rPr>
          <w:t>Single Audit</w:t>
        </w:r>
      </w:hyperlink>
      <w:r w:rsidRPr="005C5FA0">
        <w:rPr>
          <w:rFonts w:ascii="Verdana" w:hAnsi="Verdana" w:cs="Times New Roman"/>
        </w:rPr>
        <w:t xml:space="preserve"> </w:t>
      </w:r>
      <w:r w:rsidR="00E75E48">
        <w:rPr>
          <w:rFonts w:ascii="Verdana" w:hAnsi="Verdana" w:cs="Times New Roman"/>
        </w:rPr>
        <w:t xml:space="preserve"> </w:t>
      </w:r>
      <w:r w:rsidRPr="005C5FA0">
        <w:rPr>
          <w:rFonts w:ascii="Verdana" w:hAnsi="Verdana" w:cs="Times New Roman"/>
        </w:rPr>
        <w:t xml:space="preserve">and </w:t>
      </w:r>
      <w:hyperlink w:anchor="EXEMPTION_STUDENT_ACTIVITY_FUNDS" w:history="1">
        <w:r w:rsidRPr="00813826">
          <w:rPr>
            <w:rStyle w:val="Hyperlink"/>
            <w:rFonts w:ascii="Verdana" w:hAnsi="Verdana" w:cs="Times New Roman"/>
          </w:rPr>
          <w:t>School Activity Fund</w:t>
        </w:r>
      </w:hyperlink>
      <w:r w:rsidRPr="005C5FA0">
        <w:rPr>
          <w:rFonts w:ascii="Verdana" w:hAnsi="Verdana" w:cs="Times New Roman"/>
        </w:rPr>
        <w:t xml:space="preserve"> </w:t>
      </w:r>
      <w:r w:rsidR="00E75E48">
        <w:rPr>
          <w:rFonts w:ascii="Verdana" w:hAnsi="Verdana" w:cs="Times New Roman"/>
        </w:rPr>
        <w:t xml:space="preserve"> </w:t>
      </w:r>
      <w:r w:rsidRPr="005C5FA0">
        <w:rPr>
          <w:rFonts w:ascii="Verdana" w:hAnsi="Verdana" w:cs="Times New Roman"/>
        </w:rPr>
        <w:t>exemption sections following.</w:t>
      </w:r>
    </w:p>
    <w:p w14:paraId="4C3F7539" w14:textId="015B7B19" w:rsidR="00E113EC" w:rsidRPr="005C5FA0" w:rsidRDefault="00E113EC" w:rsidP="00E113EC">
      <w:pPr>
        <w:jc w:val="both"/>
        <w:rPr>
          <w:rFonts w:ascii="Verdana" w:hAnsi="Verdana" w:cs="Times New Roman"/>
        </w:rPr>
      </w:pPr>
      <w:r w:rsidRPr="005C5FA0">
        <w:rPr>
          <w:rFonts w:ascii="Verdana" w:hAnsi="Verdana" w:cs="Times New Roman"/>
        </w:rPr>
        <w:t xml:space="preserve">As has been in place since </w:t>
      </w:r>
      <w:r w:rsidR="00854649" w:rsidRPr="005C5FA0">
        <w:rPr>
          <w:rFonts w:ascii="Verdana" w:hAnsi="Verdana" w:cs="Times New Roman"/>
        </w:rPr>
        <w:t>20</w:t>
      </w:r>
      <w:r w:rsidR="008052FB" w:rsidRPr="005C5FA0">
        <w:rPr>
          <w:rFonts w:ascii="Verdana" w:hAnsi="Verdana" w:cs="Times New Roman"/>
        </w:rPr>
        <w:t>21,</w:t>
      </w:r>
      <w:r w:rsidR="00854649" w:rsidRPr="005C5FA0">
        <w:rPr>
          <w:rFonts w:ascii="Verdana" w:hAnsi="Verdana" w:cs="Times New Roman"/>
        </w:rPr>
        <w:t xml:space="preserve"> all</w:t>
      </w:r>
      <w:r w:rsidRPr="005C5FA0">
        <w:rPr>
          <w:rFonts w:ascii="Verdana" w:hAnsi="Verdana" w:cs="Times New Roman"/>
        </w:rPr>
        <w:t xml:space="preserve"> entities not exempt from performing the AUPs as stated within the Applicability of AUPs section of this document are required to perform all AUP categories.</w:t>
      </w:r>
    </w:p>
    <w:p w14:paraId="466EEAC9" w14:textId="00C54C0A" w:rsidR="00211F85" w:rsidRPr="005C5FA0" w:rsidRDefault="000335EB" w:rsidP="00773CBA">
      <w:pPr>
        <w:jc w:val="both"/>
        <w:rPr>
          <w:rFonts w:ascii="Verdana" w:hAnsi="Verdana" w:cs="Times New Roman"/>
          <w:i/>
          <w:u w:val="single"/>
        </w:rPr>
      </w:pPr>
      <w:bookmarkStart w:id="2" w:name="NEW"/>
      <w:bookmarkStart w:id="3" w:name="_Hlk88482457"/>
      <w:r w:rsidRPr="005C5FA0">
        <w:rPr>
          <w:rFonts w:ascii="Verdana" w:hAnsi="Verdana" w:cs="Times New Roman"/>
          <w:b/>
          <w:i/>
          <w:u w:val="single"/>
        </w:rPr>
        <w:t>What’s New</w:t>
      </w:r>
      <w:bookmarkEnd w:id="2"/>
      <w:r w:rsidRPr="005C5FA0">
        <w:rPr>
          <w:rFonts w:ascii="Verdana" w:hAnsi="Verdana" w:cs="Times New Roman"/>
          <w:b/>
          <w:i/>
          <w:u w:val="single"/>
        </w:rPr>
        <w:t>?</w:t>
      </w:r>
      <w:r w:rsidRPr="005C5FA0">
        <w:rPr>
          <w:rFonts w:ascii="Verdana" w:hAnsi="Verdana" w:cs="Times New Roman"/>
          <w:i/>
          <w:u w:val="single"/>
        </w:rPr>
        <w:t xml:space="preserve"> </w:t>
      </w:r>
      <w:r w:rsidR="005B5E5D" w:rsidRPr="005C5FA0">
        <w:rPr>
          <w:rFonts w:ascii="Verdana" w:hAnsi="Verdana" w:cs="Times New Roman"/>
          <w:i/>
          <w:u w:val="single"/>
        </w:rPr>
        <w:t xml:space="preserve"> </w:t>
      </w:r>
    </w:p>
    <w:p w14:paraId="6FB589B8" w14:textId="27BD06CE" w:rsidR="00910197" w:rsidRPr="005C5FA0" w:rsidRDefault="00910197" w:rsidP="00254A13">
      <w:pPr>
        <w:pStyle w:val="ListParagraph"/>
        <w:numPr>
          <w:ilvl w:val="0"/>
          <w:numId w:val="71"/>
        </w:numPr>
        <w:spacing w:after="120"/>
        <w:ind w:left="1440" w:hanging="720"/>
        <w:contextualSpacing w:val="0"/>
        <w:jc w:val="both"/>
        <w:rPr>
          <w:rFonts w:ascii="Verdana" w:hAnsi="Verdana"/>
          <w:sz w:val="22"/>
          <w:szCs w:val="22"/>
        </w:rPr>
      </w:pPr>
      <w:r w:rsidRPr="005C5FA0">
        <w:rPr>
          <w:rFonts w:ascii="Verdana" w:hAnsi="Verdana"/>
          <w:sz w:val="22"/>
          <w:szCs w:val="22"/>
        </w:rPr>
        <w:t>Procedure 2</w:t>
      </w:r>
      <w:r w:rsidR="00E113EC" w:rsidRPr="005C5FA0">
        <w:rPr>
          <w:rFonts w:ascii="Verdana" w:hAnsi="Verdana"/>
          <w:sz w:val="22"/>
          <w:szCs w:val="22"/>
        </w:rPr>
        <w:t xml:space="preserve"> (Board or Finance Committee)</w:t>
      </w:r>
      <w:r w:rsidRPr="005C5FA0">
        <w:rPr>
          <w:rFonts w:ascii="Verdana" w:hAnsi="Verdana"/>
          <w:sz w:val="22"/>
          <w:szCs w:val="22"/>
        </w:rPr>
        <w:t>: Added a Board oversight component to solving audit findings</w:t>
      </w:r>
      <w:r w:rsidR="00E113EC" w:rsidRPr="005C5FA0">
        <w:rPr>
          <w:rFonts w:ascii="Verdana" w:hAnsi="Verdana"/>
          <w:sz w:val="22"/>
          <w:szCs w:val="22"/>
        </w:rPr>
        <w:t>;</w:t>
      </w:r>
    </w:p>
    <w:p w14:paraId="4A5ABC56" w14:textId="19BAE10F" w:rsidR="00910197" w:rsidRPr="005C5FA0" w:rsidRDefault="00910197" w:rsidP="00254A13">
      <w:pPr>
        <w:pStyle w:val="ListParagraph"/>
        <w:numPr>
          <w:ilvl w:val="0"/>
          <w:numId w:val="71"/>
        </w:numPr>
        <w:spacing w:after="120"/>
        <w:ind w:left="1440" w:hanging="720"/>
        <w:contextualSpacing w:val="0"/>
        <w:jc w:val="both"/>
        <w:rPr>
          <w:rFonts w:ascii="Verdana" w:hAnsi="Verdana"/>
          <w:sz w:val="22"/>
          <w:szCs w:val="22"/>
        </w:rPr>
      </w:pPr>
      <w:r w:rsidRPr="005C5FA0">
        <w:rPr>
          <w:rFonts w:ascii="Verdana" w:hAnsi="Verdana"/>
          <w:sz w:val="22"/>
          <w:szCs w:val="22"/>
        </w:rPr>
        <w:t>Procedure 5</w:t>
      </w:r>
      <w:r w:rsidR="00E113EC" w:rsidRPr="005C5FA0">
        <w:rPr>
          <w:rFonts w:ascii="Verdana" w:hAnsi="Verdana"/>
          <w:sz w:val="22"/>
          <w:szCs w:val="22"/>
        </w:rPr>
        <w:t xml:space="preserve"> (Non-Payroll Disbursements)</w:t>
      </w:r>
      <w:r w:rsidRPr="005C5FA0">
        <w:rPr>
          <w:rFonts w:ascii="Verdana" w:hAnsi="Verdana"/>
          <w:sz w:val="22"/>
          <w:szCs w:val="22"/>
        </w:rPr>
        <w:t>: Added to observe that only authorized check signers approve the electronic disbursement of funds</w:t>
      </w:r>
      <w:r w:rsidR="00E113EC" w:rsidRPr="005C5FA0">
        <w:rPr>
          <w:rFonts w:ascii="Verdana" w:hAnsi="Verdana"/>
          <w:sz w:val="22"/>
          <w:szCs w:val="22"/>
        </w:rPr>
        <w:t>;</w:t>
      </w:r>
    </w:p>
    <w:p w14:paraId="1FBD9C7D" w14:textId="3F7EE3FD" w:rsidR="00E113EC" w:rsidRPr="005C5FA0" w:rsidRDefault="00E113EC" w:rsidP="00254A13">
      <w:pPr>
        <w:pStyle w:val="ListParagraph"/>
        <w:numPr>
          <w:ilvl w:val="0"/>
          <w:numId w:val="71"/>
        </w:numPr>
        <w:spacing w:after="120"/>
        <w:ind w:left="1440" w:hanging="720"/>
        <w:contextualSpacing w:val="0"/>
        <w:jc w:val="both"/>
        <w:rPr>
          <w:rFonts w:ascii="Verdana" w:hAnsi="Verdana"/>
          <w:sz w:val="22"/>
          <w:szCs w:val="22"/>
        </w:rPr>
      </w:pPr>
      <w:r w:rsidRPr="005C5FA0">
        <w:rPr>
          <w:rFonts w:ascii="Verdana" w:hAnsi="Verdana"/>
          <w:sz w:val="22"/>
          <w:szCs w:val="22"/>
        </w:rPr>
        <w:t>Procedure 10 (Ethics): Added to inquire whether the agency has appointed an Ethics designee;</w:t>
      </w:r>
    </w:p>
    <w:p w14:paraId="25055BD7" w14:textId="01FD3B64" w:rsidR="00E113EC" w:rsidRPr="005C5FA0" w:rsidRDefault="00E113EC" w:rsidP="00254A13">
      <w:pPr>
        <w:pStyle w:val="ListParagraph"/>
        <w:numPr>
          <w:ilvl w:val="0"/>
          <w:numId w:val="71"/>
        </w:numPr>
        <w:spacing w:after="120"/>
        <w:ind w:left="1440" w:hanging="720"/>
        <w:contextualSpacing w:val="0"/>
        <w:jc w:val="both"/>
        <w:rPr>
          <w:rFonts w:ascii="Verdana" w:hAnsi="Verdana"/>
          <w:sz w:val="22"/>
          <w:szCs w:val="22"/>
        </w:rPr>
      </w:pPr>
      <w:r w:rsidRPr="005C5FA0">
        <w:rPr>
          <w:rFonts w:ascii="Verdana" w:hAnsi="Verdana"/>
          <w:sz w:val="22"/>
          <w:szCs w:val="22"/>
        </w:rPr>
        <w:t>Procedure 13 (Information Technology Disaster Recovery/Business Continuity): Added to observe evidence that the agency’s backup of critical data was not stored on the local server or network; and</w:t>
      </w:r>
    </w:p>
    <w:p w14:paraId="6ADC1848" w14:textId="28C32DC9" w:rsidR="00E113EC" w:rsidRPr="005C5FA0" w:rsidRDefault="00E113EC" w:rsidP="00254A13">
      <w:pPr>
        <w:pStyle w:val="ListParagraph"/>
        <w:numPr>
          <w:ilvl w:val="0"/>
          <w:numId w:val="71"/>
        </w:numPr>
        <w:spacing w:after="120"/>
        <w:ind w:left="1440" w:hanging="720"/>
        <w:contextualSpacing w:val="0"/>
        <w:jc w:val="both"/>
        <w:rPr>
          <w:rFonts w:ascii="Verdana" w:hAnsi="Verdana"/>
          <w:sz w:val="22"/>
          <w:szCs w:val="22"/>
        </w:rPr>
      </w:pPr>
      <w:r w:rsidRPr="005C5FA0">
        <w:rPr>
          <w:rFonts w:ascii="Verdana" w:hAnsi="Verdana"/>
          <w:sz w:val="22"/>
          <w:szCs w:val="22"/>
        </w:rPr>
        <w:t xml:space="preserve">Procedure 13 (Information Technology Disaster </w:t>
      </w:r>
      <w:r w:rsidR="00B04DB2" w:rsidRPr="005C5FA0">
        <w:rPr>
          <w:rFonts w:ascii="Verdana" w:hAnsi="Verdana"/>
          <w:sz w:val="22"/>
          <w:szCs w:val="22"/>
        </w:rPr>
        <w:t>R</w:t>
      </w:r>
      <w:r w:rsidRPr="005C5FA0">
        <w:rPr>
          <w:rFonts w:ascii="Verdana" w:hAnsi="Verdana"/>
          <w:sz w:val="22"/>
          <w:szCs w:val="22"/>
        </w:rPr>
        <w:t>ecovery/Business Continuity): Added to observe that terminated employees have been removed or disabled from the network</w:t>
      </w:r>
      <w:r w:rsidR="00BD339C" w:rsidRPr="005C5FA0">
        <w:rPr>
          <w:rFonts w:ascii="Verdana" w:hAnsi="Verdana"/>
          <w:sz w:val="22"/>
          <w:szCs w:val="22"/>
        </w:rPr>
        <w:t>.</w:t>
      </w:r>
    </w:p>
    <w:p w14:paraId="01D03B7D" w14:textId="0B95B3BC" w:rsidR="000335EB" w:rsidRPr="005C5FA0" w:rsidRDefault="002C7C3A" w:rsidP="00773CBA">
      <w:pPr>
        <w:jc w:val="both"/>
        <w:rPr>
          <w:rFonts w:ascii="Verdana" w:hAnsi="Verdana" w:cs="Times New Roman"/>
        </w:rPr>
      </w:pPr>
      <w:r w:rsidRPr="005C5FA0">
        <w:rPr>
          <w:rFonts w:ascii="Verdana" w:hAnsi="Verdana" w:cs="Times New Roman"/>
        </w:rPr>
        <w:lastRenderedPageBreak/>
        <w:t>Additionally, e</w:t>
      </w:r>
      <w:r w:rsidR="00211F85" w:rsidRPr="005C5FA0">
        <w:rPr>
          <w:rFonts w:ascii="Verdana" w:hAnsi="Verdana" w:cs="Times New Roman"/>
        </w:rPr>
        <w:t xml:space="preserve">dits </w:t>
      </w:r>
      <w:r w:rsidRPr="005C5FA0">
        <w:rPr>
          <w:rFonts w:ascii="Verdana" w:hAnsi="Verdana" w:cs="Times New Roman"/>
        </w:rPr>
        <w:t>have been made t</w:t>
      </w:r>
      <w:r w:rsidR="00211F85" w:rsidRPr="005C5FA0">
        <w:rPr>
          <w:rFonts w:ascii="Verdana" w:hAnsi="Verdana" w:cs="Times New Roman"/>
        </w:rPr>
        <w:t>o other AUP categories, existing instructions</w:t>
      </w:r>
      <w:r w:rsidR="00E113EC" w:rsidRPr="005C5FA0">
        <w:rPr>
          <w:rFonts w:ascii="Verdana" w:hAnsi="Verdana" w:cs="Times New Roman"/>
        </w:rPr>
        <w:t>,</w:t>
      </w:r>
      <w:r w:rsidR="00211F85" w:rsidRPr="005C5FA0">
        <w:rPr>
          <w:rFonts w:ascii="Verdana" w:hAnsi="Verdana" w:cs="Times New Roman"/>
        </w:rPr>
        <w:t xml:space="preserve"> footnotes</w:t>
      </w:r>
      <w:r w:rsidR="00E113EC" w:rsidRPr="005C5FA0">
        <w:rPr>
          <w:rFonts w:ascii="Verdana" w:hAnsi="Verdana" w:cs="Times New Roman"/>
        </w:rPr>
        <w:t>, and Frequently Asked Questions (FAQs)</w:t>
      </w:r>
      <w:r w:rsidR="00211F85" w:rsidRPr="005C5FA0">
        <w:rPr>
          <w:rFonts w:ascii="Verdana" w:hAnsi="Verdana" w:cs="Times New Roman"/>
        </w:rPr>
        <w:t xml:space="preserve">. </w:t>
      </w:r>
    </w:p>
    <w:p w14:paraId="7E73EC8E" w14:textId="1D0AD9D8" w:rsidR="005B5E5D" w:rsidRPr="005C5FA0" w:rsidRDefault="005B5E5D" w:rsidP="00773CBA">
      <w:pPr>
        <w:jc w:val="both"/>
        <w:rPr>
          <w:rFonts w:ascii="Verdana" w:hAnsi="Verdana" w:cs="Times New Roman"/>
          <w:b/>
          <w:i/>
          <w:u w:val="single"/>
        </w:rPr>
      </w:pPr>
      <w:bookmarkStart w:id="4" w:name="APPLICABLE"/>
      <w:r w:rsidRPr="005C5FA0">
        <w:rPr>
          <w:rFonts w:ascii="Verdana" w:hAnsi="Verdana" w:cs="Times New Roman"/>
          <w:b/>
          <w:i/>
          <w:u w:val="single"/>
        </w:rPr>
        <w:t>Applicable Auditing Standards</w:t>
      </w:r>
    </w:p>
    <w:bookmarkEnd w:id="3"/>
    <w:bookmarkEnd w:id="4"/>
    <w:p w14:paraId="14950F51" w14:textId="45FE52F5" w:rsidR="005B5E5D" w:rsidRPr="005C5FA0" w:rsidRDefault="00773CBA" w:rsidP="00773CBA">
      <w:pPr>
        <w:jc w:val="both"/>
        <w:rPr>
          <w:rFonts w:ascii="Verdana" w:hAnsi="Verdana" w:cs="Times New Roman"/>
        </w:rPr>
      </w:pPr>
      <w:r w:rsidRPr="005C5FA0">
        <w:rPr>
          <w:rFonts w:ascii="Verdana" w:hAnsi="Verdana" w:cs="Times New Roman"/>
        </w:rPr>
        <w:t xml:space="preserve">The AUPs are to be performed </w:t>
      </w:r>
      <w:r w:rsidR="00B82056" w:rsidRPr="005C5FA0">
        <w:rPr>
          <w:rFonts w:ascii="Verdana" w:hAnsi="Verdana" w:cs="Times New Roman"/>
        </w:rPr>
        <w:t>in accordance with</w:t>
      </w:r>
      <w:r w:rsidRPr="005C5FA0">
        <w:rPr>
          <w:rFonts w:ascii="Verdana" w:hAnsi="Verdana" w:cs="Times New Roman"/>
        </w:rPr>
        <w:t xml:space="preserve"> attest</w:t>
      </w:r>
      <w:r w:rsidR="00B82056" w:rsidRPr="005C5FA0">
        <w:rPr>
          <w:rFonts w:ascii="Verdana" w:hAnsi="Verdana" w:cs="Times New Roman"/>
        </w:rPr>
        <w:t>ation</w:t>
      </w:r>
      <w:r w:rsidRPr="005C5FA0">
        <w:rPr>
          <w:rFonts w:ascii="Verdana" w:hAnsi="Verdana" w:cs="Times New Roman"/>
        </w:rPr>
        <w:t xml:space="preserve"> standards</w:t>
      </w:r>
      <w:r w:rsidR="00133A56" w:rsidRPr="005C5FA0">
        <w:rPr>
          <w:rFonts w:ascii="Verdana" w:hAnsi="Verdana" w:cs="Times New Roman"/>
        </w:rPr>
        <w:t xml:space="preserve"> (Statements on Standards for Attestation Engagements</w:t>
      </w:r>
      <w:r w:rsidR="006F512D" w:rsidRPr="005C5FA0">
        <w:rPr>
          <w:rFonts w:ascii="Verdana" w:hAnsi="Verdana" w:cs="Times New Roman"/>
        </w:rPr>
        <w:t>; SSAEs</w:t>
      </w:r>
      <w:r w:rsidR="00133A56" w:rsidRPr="005C5FA0">
        <w:rPr>
          <w:rFonts w:ascii="Verdana" w:hAnsi="Verdana" w:cs="Times New Roman"/>
        </w:rPr>
        <w:t>)</w:t>
      </w:r>
      <w:r w:rsidRPr="005C5FA0">
        <w:rPr>
          <w:rFonts w:ascii="Verdana" w:hAnsi="Verdana" w:cs="Times New Roman"/>
        </w:rPr>
        <w:t xml:space="preserve"> </w:t>
      </w:r>
      <w:r w:rsidR="00B82056" w:rsidRPr="005C5FA0">
        <w:rPr>
          <w:rFonts w:ascii="Verdana" w:hAnsi="Verdana" w:cs="Times New Roman"/>
        </w:rPr>
        <w:t>established by the A</w:t>
      </w:r>
      <w:r w:rsidR="006F512D" w:rsidRPr="005C5FA0">
        <w:rPr>
          <w:rFonts w:ascii="Verdana" w:hAnsi="Verdana" w:cs="Times New Roman"/>
        </w:rPr>
        <w:t xml:space="preserve">merican </w:t>
      </w:r>
      <w:r w:rsidR="00B82056" w:rsidRPr="005C5FA0">
        <w:rPr>
          <w:rFonts w:ascii="Verdana" w:hAnsi="Verdana" w:cs="Times New Roman"/>
        </w:rPr>
        <w:t>I</w:t>
      </w:r>
      <w:r w:rsidR="006F512D" w:rsidRPr="005C5FA0">
        <w:rPr>
          <w:rFonts w:ascii="Verdana" w:hAnsi="Verdana" w:cs="Times New Roman"/>
        </w:rPr>
        <w:t xml:space="preserve">nstitute of </w:t>
      </w:r>
      <w:r w:rsidR="00B82056" w:rsidRPr="005C5FA0">
        <w:rPr>
          <w:rFonts w:ascii="Verdana" w:hAnsi="Verdana" w:cs="Times New Roman"/>
        </w:rPr>
        <w:t>C</w:t>
      </w:r>
      <w:r w:rsidR="006F512D" w:rsidRPr="005C5FA0">
        <w:rPr>
          <w:rFonts w:ascii="Verdana" w:hAnsi="Verdana" w:cs="Times New Roman"/>
        </w:rPr>
        <w:t xml:space="preserve">ertified </w:t>
      </w:r>
      <w:r w:rsidR="00B82056" w:rsidRPr="005C5FA0">
        <w:rPr>
          <w:rFonts w:ascii="Verdana" w:hAnsi="Verdana" w:cs="Times New Roman"/>
        </w:rPr>
        <w:t>P</w:t>
      </w:r>
      <w:r w:rsidR="006F512D" w:rsidRPr="005C5FA0">
        <w:rPr>
          <w:rFonts w:ascii="Verdana" w:hAnsi="Verdana" w:cs="Times New Roman"/>
        </w:rPr>
        <w:t xml:space="preserve">ublic </w:t>
      </w:r>
      <w:r w:rsidR="00B82056" w:rsidRPr="005C5FA0">
        <w:rPr>
          <w:rFonts w:ascii="Verdana" w:hAnsi="Verdana" w:cs="Times New Roman"/>
        </w:rPr>
        <w:t>A</w:t>
      </w:r>
      <w:r w:rsidR="006F512D" w:rsidRPr="005C5FA0">
        <w:rPr>
          <w:rFonts w:ascii="Verdana" w:hAnsi="Verdana" w:cs="Times New Roman"/>
        </w:rPr>
        <w:t>ccountants (AICPA)</w:t>
      </w:r>
      <w:r w:rsidR="00B82056" w:rsidRPr="005C5FA0">
        <w:rPr>
          <w:rFonts w:ascii="Verdana" w:hAnsi="Verdana" w:cs="Times New Roman"/>
        </w:rPr>
        <w:t xml:space="preserve"> </w:t>
      </w:r>
      <w:r w:rsidRPr="005C5FA0">
        <w:rPr>
          <w:rFonts w:ascii="Verdana" w:hAnsi="Verdana" w:cs="Times New Roman"/>
        </w:rPr>
        <w:t xml:space="preserve">and </w:t>
      </w:r>
      <w:r w:rsidRPr="005C5FA0">
        <w:rPr>
          <w:rFonts w:ascii="Verdana" w:hAnsi="Verdana" w:cs="Times New Roman"/>
          <w:i/>
        </w:rPr>
        <w:t>Government Auditing Standards</w:t>
      </w:r>
      <w:r w:rsidRPr="005C5FA0">
        <w:rPr>
          <w:rFonts w:ascii="Verdana" w:hAnsi="Verdana" w:cs="Times New Roman"/>
        </w:rPr>
        <w:t xml:space="preserve">, and the AUP report must be attached </w:t>
      </w:r>
      <w:r w:rsidR="00360777" w:rsidRPr="005C5FA0">
        <w:rPr>
          <w:rFonts w:ascii="Verdana" w:hAnsi="Verdana" w:cs="Times New Roman"/>
        </w:rPr>
        <w:t>with</w:t>
      </w:r>
      <w:r w:rsidRPr="005C5FA0">
        <w:rPr>
          <w:rFonts w:ascii="Verdana" w:hAnsi="Verdana" w:cs="Times New Roman"/>
        </w:rPr>
        <w:t xml:space="preserve"> the audit report that is submitted to the Legislative Auditor’s office (i.e.</w:t>
      </w:r>
      <w:r w:rsidR="00BD0A4B" w:rsidRPr="005C5FA0">
        <w:rPr>
          <w:rFonts w:ascii="Verdana" w:hAnsi="Verdana" w:cs="Times New Roman"/>
        </w:rPr>
        <w:t>,</w:t>
      </w:r>
      <w:r w:rsidRPr="005C5FA0">
        <w:rPr>
          <w:rFonts w:ascii="Verdana" w:hAnsi="Verdana" w:cs="Times New Roman"/>
        </w:rPr>
        <w:t xml:space="preserve"> one pdf file submitted to the LLA rather than two). The AUPs are required to be performed by the same firm that performs the annual audit; accordingly, a separate “engagement approval form” for the statewide AUP engagement is </w:t>
      </w:r>
      <w:r w:rsidRPr="005C5FA0">
        <w:rPr>
          <w:rFonts w:ascii="Verdana" w:hAnsi="Verdana" w:cs="Times New Roman"/>
          <w:b/>
        </w:rPr>
        <w:t>not required</w:t>
      </w:r>
      <w:r w:rsidRPr="005C5FA0">
        <w:rPr>
          <w:rFonts w:ascii="Verdana" w:hAnsi="Verdana" w:cs="Times New Roman"/>
        </w:rPr>
        <w:t>.</w:t>
      </w:r>
      <w:r w:rsidR="00600AFA" w:rsidRPr="005C5FA0">
        <w:rPr>
          <w:rFonts w:ascii="Verdana" w:hAnsi="Verdana" w:cs="Times New Roman"/>
        </w:rPr>
        <w:t xml:space="preserve">  The LLA is considered to be a specified party to the AUP engagements and </w:t>
      </w:r>
      <w:r w:rsidR="00890D91" w:rsidRPr="005C5FA0">
        <w:rPr>
          <w:rFonts w:ascii="Verdana" w:hAnsi="Verdana" w:cs="Times New Roman"/>
        </w:rPr>
        <w:t>acknowl</w:t>
      </w:r>
      <w:r w:rsidR="00B82056" w:rsidRPr="005C5FA0">
        <w:rPr>
          <w:rFonts w:ascii="Verdana" w:hAnsi="Verdana" w:cs="Times New Roman"/>
        </w:rPr>
        <w:t>e</w:t>
      </w:r>
      <w:r w:rsidR="00890D91" w:rsidRPr="005C5FA0">
        <w:rPr>
          <w:rFonts w:ascii="Verdana" w:hAnsi="Verdana" w:cs="Times New Roman"/>
        </w:rPr>
        <w:t>dges</w:t>
      </w:r>
      <w:r w:rsidR="00B82056" w:rsidRPr="005C5FA0">
        <w:rPr>
          <w:rFonts w:ascii="Verdana" w:hAnsi="Verdana" w:cs="Times New Roman"/>
        </w:rPr>
        <w:t xml:space="preserve"> that the procedures performed are appropriate for our purposes</w:t>
      </w:r>
      <w:r w:rsidR="00600AFA" w:rsidRPr="005C5FA0">
        <w:rPr>
          <w:rFonts w:ascii="Verdana" w:hAnsi="Verdana" w:cs="Times New Roman"/>
        </w:rPr>
        <w:t xml:space="preserve"> by our acceptance of the standard audit engagement approval forms.</w:t>
      </w:r>
    </w:p>
    <w:p w14:paraId="303EC90C" w14:textId="50B77DA9" w:rsidR="009171B6" w:rsidRPr="005C5FA0" w:rsidRDefault="009171B6" w:rsidP="00773CBA">
      <w:pPr>
        <w:jc w:val="both"/>
        <w:rPr>
          <w:rFonts w:ascii="Verdana" w:hAnsi="Verdana" w:cs="Times New Roman"/>
          <w:b/>
          <w:i/>
          <w:u w:val="single"/>
        </w:rPr>
      </w:pPr>
      <w:bookmarkStart w:id="5" w:name="REPORTING_FINDINGS"/>
      <w:r w:rsidRPr="005C5FA0">
        <w:rPr>
          <w:rFonts w:ascii="Verdana" w:hAnsi="Verdana" w:cs="Times New Roman"/>
          <w:b/>
          <w:i/>
          <w:u w:val="single"/>
        </w:rPr>
        <w:t xml:space="preserve">Reporting AUP </w:t>
      </w:r>
      <w:r w:rsidR="00F247D2" w:rsidRPr="005C5FA0">
        <w:rPr>
          <w:rFonts w:ascii="Verdana" w:hAnsi="Verdana" w:cs="Times New Roman"/>
          <w:b/>
          <w:i/>
          <w:u w:val="single"/>
        </w:rPr>
        <w:t>Finding</w:t>
      </w:r>
      <w:r w:rsidRPr="005C5FA0">
        <w:rPr>
          <w:rFonts w:ascii="Verdana" w:hAnsi="Verdana" w:cs="Times New Roman"/>
          <w:b/>
          <w:i/>
          <w:u w:val="single"/>
        </w:rPr>
        <w:t>s</w:t>
      </w:r>
    </w:p>
    <w:bookmarkEnd w:id="5"/>
    <w:p w14:paraId="09A11B77" w14:textId="145C0139" w:rsidR="006F512D" w:rsidRPr="005C5FA0" w:rsidRDefault="00A009FA" w:rsidP="00773CBA">
      <w:pPr>
        <w:jc w:val="both"/>
        <w:rPr>
          <w:rFonts w:ascii="Verdana" w:hAnsi="Verdana" w:cs="Times New Roman"/>
        </w:rPr>
      </w:pPr>
      <w:r w:rsidRPr="005C5FA0">
        <w:rPr>
          <w:rFonts w:ascii="Verdana" w:hAnsi="Verdana" w:cs="Times New Roman"/>
          <w:i/>
        </w:rPr>
        <w:t xml:space="preserve">Findings </w:t>
      </w:r>
      <w:r w:rsidRPr="005C5FA0">
        <w:rPr>
          <w:rFonts w:ascii="Verdana" w:hAnsi="Verdana" w:cs="Times New Roman"/>
        </w:rPr>
        <w:t>are the factual results of the procedures performed</w:t>
      </w:r>
      <w:r w:rsidR="00672CCC" w:rsidRPr="005C5FA0">
        <w:rPr>
          <w:rFonts w:ascii="Verdana" w:hAnsi="Verdana" w:cs="Times New Roman"/>
        </w:rPr>
        <w:t xml:space="preserve">, including sufficient details of any exceptions found. </w:t>
      </w:r>
      <w:r w:rsidR="00773CBA" w:rsidRPr="005C5FA0">
        <w:rPr>
          <w:rFonts w:ascii="Verdana" w:hAnsi="Verdana" w:cs="Times New Roman"/>
        </w:rPr>
        <w:t xml:space="preserve">All </w:t>
      </w:r>
      <w:r w:rsidR="0049327B" w:rsidRPr="005C5FA0">
        <w:rPr>
          <w:rFonts w:ascii="Verdana" w:hAnsi="Verdana" w:cs="Times New Roman"/>
        </w:rPr>
        <w:t>exceptions found</w:t>
      </w:r>
      <w:r w:rsidR="00536E2E" w:rsidRPr="005C5FA0">
        <w:rPr>
          <w:rFonts w:ascii="Verdana" w:hAnsi="Verdana" w:cs="Times New Roman"/>
        </w:rPr>
        <w:t xml:space="preserve">, other than those related </w:t>
      </w:r>
      <w:r w:rsidR="003F0E2B" w:rsidRPr="005C5FA0">
        <w:rPr>
          <w:rFonts w:ascii="Verdana" w:hAnsi="Verdana" w:cs="Times New Roman"/>
        </w:rPr>
        <w:t xml:space="preserve">to </w:t>
      </w:r>
      <w:r w:rsidR="00536E2E" w:rsidRPr="005C5FA0">
        <w:rPr>
          <w:rFonts w:ascii="Verdana" w:hAnsi="Verdana" w:cs="Times New Roman"/>
        </w:rPr>
        <w:t>Information Technology Disaster Recovery/Business Continuity,</w:t>
      </w:r>
      <w:r w:rsidR="00773CBA" w:rsidRPr="005C5FA0">
        <w:rPr>
          <w:rFonts w:ascii="Verdana" w:hAnsi="Verdana" w:cs="Times New Roman"/>
        </w:rPr>
        <w:t xml:space="preserve"> are to be included in the AUP report with management’s res</w:t>
      </w:r>
      <w:r w:rsidR="00D065A7" w:rsidRPr="005C5FA0">
        <w:rPr>
          <w:rFonts w:ascii="Verdana" w:hAnsi="Verdana" w:cs="Times New Roman"/>
        </w:rPr>
        <w:t xml:space="preserve">ponses/corrective actions.  </w:t>
      </w:r>
      <w:r w:rsidR="003009E6" w:rsidRPr="005C5FA0">
        <w:rPr>
          <w:rFonts w:ascii="Verdana" w:hAnsi="Verdana" w:cs="Times New Roman"/>
        </w:rPr>
        <w:t>To avoid potential conflicts with the attest</w:t>
      </w:r>
      <w:r w:rsidR="00835116" w:rsidRPr="005C5FA0">
        <w:rPr>
          <w:rFonts w:ascii="Verdana" w:hAnsi="Verdana" w:cs="Times New Roman"/>
        </w:rPr>
        <w:t>ation</w:t>
      </w:r>
      <w:r w:rsidR="003009E6" w:rsidRPr="005C5FA0">
        <w:rPr>
          <w:rFonts w:ascii="Verdana" w:hAnsi="Verdana" w:cs="Times New Roman"/>
        </w:rPr>
        <w:t xml:space="preserve"> standards, we recommend that m</w:t>
      </w:r>
      <w:r w:rsidR="00D065A7" w:rsidRPr="005C5FA0">
        <w:rPr>
          <w:rFonts w:ascii="Verdana" w:hAnsi="Verdana" w:cs="Times New Roman"/>
        </w:rPr>
        <w:t xml:space="preserve">anagement prepare a single overall response to the AUP report.  If management chooses </w:t>
      </w:r>
      <w:r w:rsidR="00D065A7" w:rsidRPr="00813826">
        <w:rPr>
          <w:rFonts w:ascii="Verdana" w:hAnsi="Verdana" w:cs="Times New Roman"/>
          <w:b/>
        </w:rPr>
        <w:t>not</w:t>
      </w:r>
      <w:r w:rsidR="00D065A7" w:rsidRPr="005C5FA0">
        <w:rPr>
          <w:rFonts w:ascii="Verdana" w:hAnsi="Verdana" w:cs="Times New Roman"/>
          <w:b/>
        </w:rPr>
        <w:t xml:space="preserve"> </w:t>
      </w:r>
      <w:r w:rsidR="00D065A7" w:rsidRPr="005C5FA0">
        <w:rPr>
          <w:rFonts w:ascii="Verdana" w:hAnsi="Verdana" w:cs="Times New Roman"/>
        </w:rPr>
        <w:t xml:space="preserve">to respond </w:t>
      </w:r>
      <w:r w:rsidR="009A5193" w:rsidRPr="005C5FA0">
        <w:rPr>
          <w:rFonts w:ascii="Verdana" w:hAnsi="Verdana" w:cs="Times New Roman"/>
        </w:rPr>
        <w:t xml:space="preserve">to </w:t>
      </w:r>
      <w:r w:rsidR="00D065A7" w:rsidRPr="005C5FA0">
        <w:rPr>
          <w:rFonts w:ascii="Verdana" w:hAnsi="Verdana" w:cs="Times New Roman"/>
        </w:rPr>
        <w:t>the AUP</w:t>
      </w:r>
      <w:r w:rsidR="009A5193" w:rsidRPr="005C5FA0">
        <w:rPr>
          <w:rFonts w:ascii="Verdana" w:hAnsi="Verdana" w:cs="Times New Roman"/>
        </w:rPr>
        <w:t xml:space="preserve"> </w:t>
      </w:r>
      <w:r w:rsidR="00F247D2" w:rsidRPr="005C5FA0">
        <w:rPr>
          <w:rFonts w:ascii="Verdana" w:hAnsi="Verdana" w:cs="Times New Roman"/>
        </w:rPr>
        <w:t>finding</w:t>
      </w:r>
      <w:r w:rsidR="009A5193" w:rsidRPr="005C5FA0">
        <w:rPr>
          <w:rFonts w:ascii="Verdana" w:hAnsi="Verdana" w:cs="Times New Roman"/>
        </w:rPr>
        <w:t>s at all</w:t>
      </w:r>
      <w:r w:rsidR="00D065A7" w:rsidRPr="005C5FA0">
        <w:rPr>
          <w:rFonts w:ascii="Verdana" w:hAnsi="Verdana" w:cs="Times New Roman"/>
        </w:rPr>
        <w:t xml:space="preserve">, the practitioner must include a </w:t>
      </w:r>
      <w:r w:rsidR="00773CBA" w:rsidRPr="005C5FA0">
        <w:rPr>
          <w:rFonts w:ascii="Verdana" w:hAnsi="Verdana" w:cs="Times New Roman"/>
        </w:rPr>
        <w:t xml:space="preserve">statement that </w:t>
      </w:r>
      <w:r w:rsidR="00D065A7" w:rsidRPr="005C5FA0">
        <w:rPr>
          <w:rFonts w:ascii="Verdana" w:hAnsi="Verdana" w:cs="Times New Roman"/>
        </w:rPr>
        <w:t>“</w:t>
      </w:r>
      <w:r w:rsidR="00773CBA" w:rsidRPr="005C5FA0">
        <w:rPr>
          <w:rFonts w:ascii="Verdana" w:hAnsi="Verdana" w:cs="Times New Roman"/>
        </w:rPr>
        <w:t xml:space="preserve">management declined to respond to the </w:t>
      </w:r>
      <w:r w:rsidR="00F247D2" w:rsidRPr="005C5FA0">
        <w:rPr>
          <w:rFonts w:ascii="Verdana" w:hAnsi="Verdana" w:cs="Times New Roman"/>
        </w:rPr>
        <w:t>finding</w:t>
      </w:r>
      <w:r w:rsidR="00773CBA" w:rsidRPr="005C5FA0">
        <w:rPr>
          <w:rFonts w:ascii="Verdana" w:hAnsi="Verdana" w:cs="Times New Roman"/>
        </w:rPr>
        <w:t>s</w:t>
      </w:r>
      <w:r w:rsidR="00D065A7" w:rsidRPr="005C5FA0">
        <w:rPr>
          <w:rFonts w:ascii="Verdana" w:hAnsi="Verdana" w:cs="Times New Roman"/>
        </w:rPr>
        <w:t xml:space="preserve"> or provide a plan of corrective action</w:t>
      </w:r>
      <w:r w:rsidR="00773CBA" w:rsidRPr="005C5FA0">
        <w:rPr>
          <w:rFonts w:ascii="Verdana" w:hAnsi="Verdana" w:cs="Times New Roman"/>
        </w:rPr>
        <w:t>.</w:t>
      </w:r>
      <w:r w:rsidR="00D065A7" w:rsidRPr="005C5FA0">
        <w:rPr>
          <w:rFonts w:ascii="Verdana" w:hAnsi="Verdana" w:cs="Times New Roman"/>
        </w:rPr>
        <w:t>”</w:t>
      </w:r>
      <w:r w:rsidR="00600AFA" w:rsidRPr="005C5FA0">
        <w:rPr>
          <w:rFonts w:ascii="Verdana" w:hAnsi="Verdana" w:cs="Times New Roman"/>
        </w:rPr>
        <w:t xml:space="preserve">  If no </w:t>
      </w:r>
      <w:r w:rsidR="00D31227" w:rsidRPr="005C5FA0">
        <w:rPr>
          <w:rFonts w:ascii="Verdana" w:hAnsi="Verdana" w:cs="Times New Roman"/>
        </w:rPr>
        <w:t>exceptions are</w:t>
      </w:r>
      <w:r w:rsidR="00600AFA" w:rsidRPr="005C5FA0">
        <w:rPr>
          <w:rFonts w:ascii="Verdana" w:hAnsi="Verdana" w:cs="Times New Roman"/>
        </w:rPr>
        <w:t xml:space="preserve"> </w:t>
      </w:r>
      <w:r w:rsidR="00835116" w:rsidRPr="005C5FA0">
        <w:rPr>
          <w:rFonts w:ascii="Verdana" w:hAnsi="Verdana" w:cs="Times New Roman"/>
        </w:rPr>
        <w:t>found</w:t>
      </w:r>
      <w:r w:rsidR="00600AFA" w:rsidRPr="005C5FA0">
        <w:rPr>
          <w:rFonts w:ascii="Verdana" w:hAnsi="Verdana" w:cs="Times New Roman"/>
        </w:rPr>
        <w:t xml:space="preserve"> when performing a procedure, “no exceptions </w:t>
      </w:r>
      <w:r w:rsidR="003009E6" w:rsidRPr="005C5FA0">
        <w:rPr>
          <w:rFonts w:ascii="Verdana" w:hAnsi="Verdana" w:cs="Times New Roman"/>
        </w:rPr>
        <w:t xml:space="preserve">were found as a result of </w:t>
      </w:r>
      <w:r w:rsidR="00B35DC3" w:rsidRPr="005C5FA0">
        <w:rPr>
          <w:rFonts w:ascii="Verdana" w:hAnsi="Verdana" w:cs="Times New Roman"/>
        </w:rPr>
        <w:t>this</w:t>
      </w:r>
      <w:r w:rsidR="003009E6" w:rsidRPr="005C5FA0">
        <w:rPr>
          <w:rFonts w:ascii="Verdana" w:hAnsi="Verdana" w:cs="Times New Roman"/>
        </w:rPr>
        <w:t xml:space="preserve"> procedure</w:t>
      </w:r>
      <w:r w:rsidR="00600AFA" w:rsidRPr="005C5FA0">
        <w:rPr>
          <w:rFonts w:ascii="Verdana" w:hAnsi="Verdana" w:cs="Times New Roman"/>
        </w:rPr>
        <w:t>” is an acceptable result in the AUP report.</w:t>
      </w:r>
      <w:r w:rsidR="00536E2E" w:rsidRPr="005C5FA0">
        <w:rPr>
          <w:rFonts w:ascii="Verdana" w:hAnsi="Verdana" w:cs="Times New Roman"/>
        </w:rPr>
        <w:t xml:space="preserve"> </w:t>
      </w:r>
    </w:p>
    <w:p w14:paraId="5485ED8E" w14:textId="78E9F9FA" w:rsidR="00773CBA" w:rsidRPr="005C5FA0" w:rsidRDefault="00C25B14" w:rsidP="00773CBA">
      <w:pPr>
        <w:jc w:val="both"/>
        <w:rPr>
          <w:rFonts w:ascii="Verdana" w:hAnsi="Verdana" w:cs="Times New Roman"/>
        </w:rPr>
      </w:pPr>
      <w:r w:rsidRPr="005C5FA0">
        <w:rPr>
          <w:rFonts w:ascii="Verdana" w:hAnsi="Verdana" w:cs="Times New Roman"/>
        </w:rPr>
        <w:t xml:space="preserve">To avoid the possible exposure of entity </w:t>
      </w:r>
      <w:r w:rsidR="003B58F2" w:rsidRPr="005C5FA0">
        <w:rPr>
          <w:rFonts w:ascii="Verdana" w:hAnsi="Verdana" w:cs="Times New Roman"/>
        </w:rPr>
        <w:t>i</w:t>
      </w:r>
      <w:r w:rsidRPr="005C5FA0">
        <w:rPr>
          <w:rFonts w:ascii="Verdana" w:hAnsi="Verdana" w:cs="Times New Roman"/>
        </w:rPr>
        <w:t xml:space="preserve">nformation </w:t>
      </w:r>
      <w:r w:rsidR="003B58F2" w:rsidRPr="005C5FA0">
        <w:rPr>
          <w:rFonts w:ascii="Verdana" w:hAnsi="Verdana" w:cs="Times New Roman"/>
        </w:rPr>
        <w:t>t</w:t>
      </w:r>
      <w:r w:rsidRPr="005C5FA0">
        <w:rPr>
          <w:rFonts w:ascii="Verdana" w:hAnsi="Verdana" w:cs="Times New Roman"/>
        </w:rPr>
        <w:t>echnology vulnerabilities</w:t>
      </w:r>
      <w:r w:rsidR="0099012F" w:rsidRPr="005C5FA0">
        <w:rPr>
          <w:rFonts w:ascii="Verdana" w:hAnsi="Verdana" w:cs="Times New Roman"/>
        </w:rPr>
        <w:t>, we ask that results of</w:t>
      </w:r>
      <w:r w:rsidR="00536E2E" w:rsidRPr="005C5FA0">
        <w:rPr>
          <w:rFonts w:ascii="Verdana" w:hAnsi="Verdana" w:cs="Times New Roman"/>
        </w:rPr>
        <w:t xml:space="preserve"> the </w:t>
      </w:r>
      <w:bookmarkStart w:id="6" w:name="_Hlk78800089"/>
      <w:bookmarkStart w:id="7" w:name="_Hlk78804144"/>
      <w:r w:rsidR="00536E2E" w:rsidRPr="005C5FA0">
        <w:rPr>
          <w:rFonts w:ascii="Verdana" w:hAnsi="Verdana" w:cs="Times New Roman"/>
        </w:rPr>
        <w:t>Information Technology Disaster Recovery/Business Continuity AUP</w:t>
      </w:r>
      <w:bookmarkEnd w:id="6"/>
      <w:r w:rsidR="00536E2E" w:rsidRPr="005C5FA0">
        <w:rPr>
          <w:rFonts w:ascii="Verdana" w:hAnsi="Verdana" w:cs="Times New Roman"/>
        </w:rPr>
        <w:t xml:space="preserve"> </w:t>
      </w:r>
      <w:bookmarkEnd w:id="7"/>
      <w:r w:rsidR="007E18C7" w:rsidRPr="005C5FA0">
        <w:rPr>
          <w:rFonts w:ascii="Verdana" w:hAnsi="Verdana" w:cs="Times New Roman"/>
        </w:rPr>
        <w:t>testing</w:t>
      </w:r>
      <w:r w:rsidR="0099012F" w:rsidRPr="005C5FA0">
        <w:rPr>
          <w:rFonts w:ascii="Verdana" w:hAnsi="Verdana" w:cs="Times New Roman"/>
        </w:rPr>
        <w:t xml:space="preserve"> </w:t>
      </w:r>
      <w:r w:rsidR="006F512D" w:rsidRPr="005C5FA0">
        <w:rPr>
          <w:rFonts w:ascii="Verdana" w:hAnsi="Verdana" w:cs="Times New Roman"/>
        </w:rPr>
        <w:t xml:space="preserve">(Procedure 13) </w:t>
      </w:r>
      <w:r w:rsidR="0099012F" w:rsidRPr="005C5FA0">
        <w:rPr>
          <w:rFonts w:ascii="Verdana" w:hAnsi="Verdana" w:cs="Times New Roman"/>
        </w:rPr>
        <w:t xml:space="preserve">be discussed with management and </w:t>
      </w:r>
      <w:r w:rsidR="0099012F" w:rsidRPr="005C5FA0">
        <w:rPr>
          <w:rFonts w:ascii="Verdana" w:hAnsi="Verdana" w:cs="Times New Roman"/>
          <w:b/>
        </w:rPr>
        <w:t>not shown within the AUP report</w:t>
      </w:r>
      <w:r w:rsidR="0099012F" w:rsidRPr="005C5FA0">
        <w:rPr>
          <w:rFonts w:ascii="Verdana" w:hAnsi="Verdana" w:cs="Times New Roman"/>
        </w:rPr>
        <w:t>. Instead</w:t>
      </w:r>
      <w:r w:rsidR="00BD0A4B" w:rsidRPr="005C5FA0">
        <w:rPr>
          <w:rFonts w:ascii="Verdana" w:hAnsi="Verdana" w:cs="Times New Roman"/>
        </w:rPr>
        <w:t>,</w:t>
      </w:r>
      <w:r w:rsidR="0099012F" w:rsidRPr="005C5FA0">
        <w:rPr>
          <w:rFonts w:ascii="Verdana" w:hAnsi="Verdana" w:cs="Times New Roman"/>
        </w:rPr>
        <w:t xml:space="preserve"> we ask that each </w:t>
      </w:r>
      <w:r w:rsidR="008975C9" w:rsidRPr="005C5FA0">
        <w:rPr>
          <w:rFonts w:ascii="Verdana" w:hAnsi="Verdana" w:cs="Times New Roman"/>
        </w:rPr>
        <w:t>procedure</w:t>
      </w:r>
      <w:r w:rsidR="0099012F" w:rsidRPr="005C5FA0">
        <w:rPr>
          <w:rFonts w:ascii="Verdana" w:hAnsi="Verdana" w:cs="Times New Roman"/>
        </w:rPr>
        <w:t xml:space="preserve"> </w:t>
      </w:r>
      <w:r w:rsidR="008975C9" w:rsidRPr="005C5FA0">
        <w:rPr>
          <w:rFonts w:ascii="Verdana" w:hAnsi="Verdana" w:cs="Times New Roman"/>
        </w:rPr>
        <w:t>under</w:t>
      </w:r>
      <w:r w:rsidR="0099012F" w:rsidRPr="005C5FA0">
        <w:rPr>
          <w:rFonts w:ascii="Verdana" w:hAnsi="Verdana" w:cs="Times New Roman"/>
        </w:rPr>
        <w:t xml:space="preserve"> the Information Technology Disaster Recovery/Business Continuity AUP </w:t>
      </w:r>
      <w:r w:rsidR="008975C9" w:rsidRPr="005C5FA0">
        <w:rPr>
          <w:rFonts w:ascii="Verdana" w:hAnsi="Verdana" w:cs="Times New Roman"/>
        </w:rPr>
        <w:t xml:space="preserve">category </w:t>
      </w:r>
      <w:r w:rsidR="0099012F" w:rsidRPr="005C5FA0">
        <w:rPr>
          <w:rFonts w:ascii="Verdana" w:hAnsi="Verdana" w:cs="Times New Roman"/>
        </w:rPr>
        <w:t xml:space="preserve">be </w:t>
      </w:r>
      <w:r w:rsidR="00536E2E" w:rsidRPr="005C5FA0">
        <w:rPr>
          <w:rFonts w:ascii="Verdana" w:hAnsi="Verdana" w:cs="Times New Roman"/>
        </w:rPr>
        <w:t>followed by the statement</w:t>
      </w:r>
      <w:r w:rsidR="00BD0A4B" w:rsidRPr="005C5FA0">
        <w:rPr>
          <w:rFonts w:ascii="Verdana" w:hAnsi="Verdana" w:cs="Times New Roman"/>
        </w:rPr>
        <w:t>,</w:t>
      </w:r>
      <w:r w:rsidR="00536E2E" w:rsidRPr="005C5FA0">
        <w:rPr>
          <w:rFonts w:ascii="Verdana" w:hAnsi="Verdana" w:cs="Times New Roman"/>
        </w:rPr>
        <w:t xml:space="preserve"> “</w:t>
      </w:r>
      <w:r w:rsidR="00536E2E" w:rsidRPr="005C5FA0">
        <w:rPr>
          <w:rFonts w:ascii="Verdana" w:eastAsia="Calibri" w:hAnsi="Verdana" w:cs="Times New Roman"/>
          <w:b/>
        </w:rPr>
        <w:t>We performed the procedure and discussed the results with management.”</w:t>
      </w:r>
      <w:r w:rsidR="0099012F" w:rsidRPr="005C5FA0">
        <w:rPr>
          <w:rFonts w:ascii="Verdana" w:eastAsia="Calibri" w:hAnsi="Verdana" w:cs="Times New Roman"/>
          <w:b/>
        </w:rPr>
        <w:t xml:space="preserve"> </w:t>
      </w:r>
      <w:r w:rsidR="0099012F" w:rsidRPr="005C5FA0">
        <w:rPr>
          <w:rFonts w:ascii="Verdana" w:eastAsia="Calibri" w:hAnsi="Verdana" w:cs="Times New Roman"/>
          <w:i/>
        </w:rPr>
        <w:t>Note:</w:t>
      </w:r>
      <w:r w:rsidR="0099012F" w:rsidRPr="005C5FA0">
        <w:rPr>
          <w:rFonts w:ascii="Verdana" w:eastAsia="Calibri" w:hAnsi="Verdana" w:cs="Times New Roman"/>
          <w:b/>
        </w:rPr>
        <w:t xml:space="preserve"> </w:t>
      </w:r>
      <w:r w:rsidR="00536E2E" w:rsidRPr="005C5FA0">
        <w:rPr>
          <w:rFonts w:ascii="Verdana" w:eastAsia="Calibri" w:hAnsi="Verdana" w:cs="Times New Roman"/>
          <w:i/>
        </w:rPr>
        <w:t xml:space="preserve">The practitioner should maintain documentation of </w:t>
      </w:r>
      <w:r w:rsidR="00536E2E" w:rsidRPr="005C5FA0">
        <w:rPr>
          <w:rFonts w:ascii="Verdana" w:hAnsi="Verdana" w:cs="Times New Roman"/>
          <w:i/>
        </w:rPr>
        <w:t xml:space="preserve">Information Technology Disaster Recovery/Business Continuity AUP testing and </w:t>
      </w:r>
      <w:r w:rsidR="00124846" w:rsidRPr="005C5FA0">
        <w:rPr>
          <w:rFonts w:ascii="Verdana" w:hAnsi="Verdana" w:cs="Times New Roman"/>
          <w:i/>
        </w:rPr>
        <w:t xml:space="preserve">subsequent </w:t>
      </w:r>
      <w:r w:rsidR="00536E2E" w:rsidRPr="005C5FA0">
        <w:rPr>
          <w:rFonts w:ascii="Verdana" w:hAnsi="Verdana" w:cs="Times New Roman"/>
          <w:i/>
        </w:rPr>
        <w:t>results in the engagement workpapers</w:t>
      </w:r>
      <w:r w:rsidR="00536E2E" w:rsidRPr="005C5FA0">
        <w:rPr>
          <w:rFonts w:ascii="Verdana" w:hAnsi="Verdana" w:cs="Times New Roman"/>
        </w:rPr>
        <w:t>.</w:t>
      </w:r>
    </w:p>
    <w:p w14:paraId="30F73FF9" w14:textId="62C04E09" w:rsidR="001D2803" w:rsidRPr="005C5FA0" w:rsidRDefault="00ED74D2" w:rsidP="001D2803">
      <w:pPr>
        <w:jc w:val="both"/>
        <w:rPr>
          <w:rFonts w:ascii="Verdana" w:hAnsi="Verdana" w:cs="Times New Roman"/>
        </w:rPr>
      </w:pPr>
      <w:r w:rsidRPr="005C5FA0">
        <w:rPr>
          <w:rFonts w:ascii="Verdana" w:hAnsi="Verdana" w:cs="Times New Roman"/>
        </w:rPr>
        <w:t>T</w:t>
      </w:r>
      <w:r w:rsidR="001D2803" w:rsidRPr="005C5FA0">
        <w:rPr>
          <w:rFonts w:ascii="Verdana" w:hAnsi="Verdana" w:cs="Times New Roman"/>
        </w:rPr>
        <w:t xml:space="preserve">he LLA does not </w:t>
      </w:r>
      <w:r w:rsidR="003B4620">
        <w:rPr>
          <w:rFonts w:ascii="Verdana" w:hAnsi="Verdana" w:cs="Times New Roman"/>
        </w:rPr>
        <w:t>intend</w:t>
      </w:r>
      <w:r w:rsidR="003B4620" w:rsidRPr="005C5FA0">
        <w:rPr>
          <w:rFonts w:ascii="Verdana" w:hAnsi="Verdana" w:cs="Times New Roman"/>
        </w:rPr>
        <w:t xml:space="preserve"> </w:t>
      </w:r>
      <w:r w:rsidR="001D2803" w:rsidRPr="005C5FA0">
        <w:rPr>
          <w:rFonts w:ascii="Verdana" w:hAnsi="Verdana" w:cs="Times New Roman"/>
        </w:rPr>
        <w:t xml:space="preserve">to penalize entities for </w:t>
      </w:r>
      <w:r w:rsidR="00672CCC" w:rsidRPr="005C5FA0">
        <w:rPr>
          <w:rFonts w:ascii="Verdana" w:hAnsi="Verdana" w:cs="Times New Roman"/>
        </w:rPr>
        <w:t>exceptions</w:t>
      </w:r>
      <w:r w:rsidR="001D2803" w:rsidRPr="005C5FA0">
        <w:rPr>
          <w:rFonts w:ascii="Verdana" w:hAnsi="Verdana" w:cs="Times New Roman"/>
        </w:rPr>
        <w:t xml:space="preserve"> that do not directly correspond to control risks. Accordingly, if the </w:t>
      </w:r>
      <w:r w:rsidR="00672CCC" w:rsidRPr="005C5FA0">
        <w:rPr>
          <w:rFonts w:ascii="Verdana" w:hAnsi="Verdana" w:cs="Times New Roman"/>
        </w:rPr>
        <w:t>practitioner found exceptions</w:t>
      </w:r>
      <w:r w:rsidR="001D2803" w:rsidRPr="005C5FA0">
        <w:rPr>
          <w:rFonts w:ascii="Verdana" w:hAnsi="Verdana" w:cs="Times New Roman"/>
        </w:rPr>
        <w:t xml:space="preserve"> within </w:t>
      </w:r>
      <w:r w:rsidR="001D2803" w:rsidRPr="005C5FA0">
        <w:rPr>
          <w:rFonts w:ascii="Verdana" w:hAnsi="Verdana" w:cs="Times New Roman"/>
        </w:rPr>
        <w:lastRenderedPageBreak/>
        <w:t xml:space="preserve">an AUP category, based strictly on the wording of the procedure, but the practitioner believes that compensating controls </w:t>
      </w:r>
      <w:r w:rsidR="001D2803" w:rsidRPr="005C5FA0">
        <w:rPr>
          <w:rFonts w:ascii="Verdana" w:hAnsi="Verdana" w:cs="Times New Roman"/>
          <w:b/>
          <w:u w:val="single"/>
        </w:rPr>
        <w:t>fully</w:t>
      </w:r>
      <w:r w:rsidR="001D2803" w:rsidRPr="005C5FA0">
        <w:rPr>
          <w:rFonts w:ascii="Verdana" w:hAnsi="Verdana" w:cs="Times New Roman"/>
        </w:rPr>
        <w:t xml:space="preserve"> mitigated the underlying control risk, the entity may report no </w:t>
      </w:r>
      <w:r w:rsidR="00672CCC" w:rsidRPr="005C5FA0">
        <w:rPr>
          <w:rFonts w:ascii="Verdana" w:hAnsi="Verdana" w:cs="Times New Roman"/>
        </w:rPr>
        <w:t>exceptions</w:t>
      </w:r>
      <w:r w:rsidR="001D2803" w:rsidRPr="005C5FA0">
        <w:rPr>
          <w:rFonts w:ascii="Verdana" w:hAnsi="Verdana" w:cs="Times New Roman"/>
        </w:rPr>
        <w:t xml:space="preserve">. </w:t>
      </w:r>
      <w:r w:rsidR="003B58F2" w:rsidRPr="005C5FA0">
        <w:rPr>
          <w:rFonts w:ascii="Verdana" w:hAnsi="Verdana" w:cs="Times New Roman"/>
        </w:rPr>
        <w:t>T</w:t>
      </w:r>
      <w:r w:rsidR="001D2803" w:rsidRPr="005C5FA0">
        <w:rPr>
          <w:rFonts w:ascii="Verdana" w:hAnsi="Verdana" w:cs="Times New Roman"/>
        </w:rPr>
        <w:t xml:space="preserve">he practitioner should maintain documentation of compensating controls in the engagement workpapers.  </w:t>
      </w:r>
    </w:p>
    <w:p w14:paraId="6BA52A5F" w14:textId="3C971EED" w:rsidR="006F512D" w:rsidRPr="005C5FA0" w:rsidRDefault="006F512D" w:rsidP="00263767">
      <w:pPr>
        <w:jc w:val="both"/>
        <w:rPr>
          <w:rFonts w:ascii="Verdana" w:hAnsi="Verdana" w:cs="Times New Roman"/>
          <w:b/>
          <w:i/>
          <w:u w:val="single"/>
        </w:rPr>
      </w:pPr>
      <w:bookmarkStart w:id="8" w:name="SAUP_EXCEPTIONS_FINDINGS"/>
      <w:r w:rsidRPr="005C5FA0">
        <w:rPr>
          <w:rFonts w:ascii="Verdana" w:hAnsi="Verdana" w:cs="Times New Roman"/>
          <w:b/>
          <w:i/>
          <w:u w:val="single"/>
        </w:rPr>
        <w:t>Statewide Agreed-Upon Procedures Exceptions and the Schedule of Audit Findings</w:t>
      </w:r>
    </w:p>
    <w:bookmarkEnd w:id="8"/>
    <w:p w14:paraId="185DEFB4" w14:textId="4CFF7164" w:rsidR="004338D6" w:rsidRPr="005C5FA0" w:rsidRDefault="006F512D" w:rsidP="00263767">
      <w:pPr>
        <w:jc w:val="both"/>
        <w:rPr>
          <w:rFonts w:ascii="Verdana" w:hAnsi="Verdana" w:cs="Times New Roman"/>
        </w:rPr>
      </w:pPr>
      <w:r w:rsidRPr="005C5FA0">
        <w:rPr>
          <w:rFonts w:ascii="Verdana" w:hAnsi="Verdana" w:cs="Times New Roman"/>
        </w:rPr>
        <w:t>T</w:t>
      </w:r>
      <w:r w:rsidR="00773CBA" w:rsidRPr="005C5FA0">
        <w:rPr>
          <w:rFonts w:ascii="Verdana" w:hAnsi="Verdana" w:cs="Times New Roman"/>
        </w:rPr>
        <w:t xml:space="preserve">he results of the AUPs do not change the practitioner’s separate responsibility to report significant deficiencies, material weaknesses, material noncompliance, etc. as part of the regular </w:t>
      </w:r>
      <w:r w:rsidR="00773CBA" w:rsidRPr="005C5FA0">
        <w:rPr>
          <w:rFonts w:ascii="Verdana" w:hAnsi="Verdana" w:cs="Times New Roman"/>
          <w:u w:val="single"/>
        </w:rPr>
        <w:t>audit</w:t>
      </w:r>
      <w:r w:rsidR="00773CBA" w:rsidRPr="005C5FA0">
        <w:rPr>
          <w:rFonts w:ascii="Verdana" w:hAnsi="Verdana" w:cs="Times New Roman"/>
        </w:rPr>
        <w:t xml:space="preserve"> engagement.  However, the practitioner should not include the AUP </w:t>
      </w:r>
      <w:r w:rsidR="00672CCC" w:rsidRPr="005C5FA0">
        <w:rPr>
          <w:rFonts w:ascii="Verdana" w:hAnsi="Verdana" w:cs="Times New Roman"/>
        </w:rPr>
        <w:t>exceptions</w:t>
      </w:r>
      <w:r w:rsidR="00773CBA" w:rsidRPr="005C5FA0">
        <w:rPr>
          <w:rFonts w:ascii="Verdana" w:hAnsi="Verdana" w:cs="Times New Roman"/>
        </w:rPr>
        <w:t xml:space="preserve"> or a reference to the </w:t>
      </w:r>
      <w:r w:rsidR="00672CCC" w:rsidRPr="005C5FA0">
        <w:rPr>
          <w:rFonts w:ascii="Verdana" w:hAnsi="Verdana" w:cs="Times New Roman"/>
        </w:rPr>
        <w:t>exceptions</w:t>
      </w:r>
      <w:r w:rsidR="00773CBA" w:rsidRPr="005C5FA0">
        <w:rPr>
          <w:rFonts w:ascii="Verdana" w:hAnsi="Verdana" w:cs="Times New Roman"/>
        </w:rPr>
        <w:t xml:space="preserve"> in the audit report’s schedule of findings unless an AUP or internal audit </w:t>
      </w:r>
      <w:r w:rsidR="00672CCC" w:rsidRPr="005C5FA0">
        <w:rPr>
          <w:rFonts w:ascii="Verdana" w:hAnsi="Verdana" w:cs="Times New Roman"/>
        </w:rPr>
        <w:t>exception</w:t>
      </w:r>
      <w:r w:rsidR="00773CBA" w:rsidRPr="005C5FA0">
        <w:rPr>
          <w:rFonts w:ascii="Verdana" w:hAnsi="Verdana" w:cs="Times New Roman"/>
        </w:rPr>
        <w:t xml:space="preserve"> rises to the level of a significant deficiency or material weakness and is included as a finding for purposes of the audit.  </w:t>
      </w:r>
      <w:r w:rsidR="004338D6" w:rsidRPr="005C5FA0">
        <w:rPr>
          <w:rFonts w:ascii="Verdana" w:hAnsi="Verdana" w:cs="Times New Roman"/>
        </w:rPr>
        <w:t xml:space="preserve">Similarly, AUP </w:t>
      </w:r>
      <w:r w:rsidR="00672CCC" w:rsidRPr="005C5FA0">
        <w:rPr>
          <w:rFonts w:ascii="Verdana" w:hAnsi="Verdana" w:cs="Times New Roman"/>
        </w:rPr>
        <w:t>exceptions</w:t>
      </w:r>
      <w:r w:rsidR="004338D6" w:rsidRPr="005C5FA0">
        <w:rPr>
          <w:rFonts w:ascii="Verdana" w:hAnsi="Verdana" w:cs="Times New Roman"/>
        </w:rPr>
        <w:t xml:space="preserve"> should not be copied and pasted as findings in the LLA report submission portal unless they are addressed as findings in the audit report.</w:t>
      </w:r>
    </w:p>
    <w:p w14:paraId="2E716A77" w14:textId="5ADE8E50" w:rsidR="006F512D" w:rsidRPr="005C5FA0" w:rsidRDefault="006F512D" w:rsidP="00F434F7">
      <w:pPr>
        <w:jc w:val="both"/>
        <w:rPr>
          <w:rFonts w:ascii="Verdana" w:hAnsi="Verdana" w:cs="Times New Roman"/>
          <w:b/>
          <w:i/>
          <w:u w:val="single"/>
        </w:rPr>
      </w:pPr>
      <w:bookmarkStart w:id="9" w:name="KNOWLEDGE_OUTSIDE_PROCEDURES"/>
      <w:r w:rsidRPr="005C5FA0">
        <w:rPr>
          <w:rFonts w:ascii="Verdana" w:hAnsi="Verdana" w:cs="Times New Roman"/>
          <w:b/>
          <w:i/>
          <w:u w:val="single"/>
        </w:rPr>
        <w:t>Knowledge of Matters Outside Agreed-Upon Procedures</w:t>
      </w:r>
      <w:bookmarkEnd w:id="9"/>
    </w:p>
    <w:p w14:paraId="66C1815D" w14:textId="5D95101F" w:rsidR="006124AE" w:rsidRPr="005C5FA0" w:rsidRDefault="00773CBA" w:rsidP="00F434F7">
      <w:pPr>
        <w:jc w:val="both"/>
        <w:rPr>
          <w:rFonts w:ascii="Verdana" w:hAnsi="Verdana" w:cs="Times New Roman"/>
        </w:rPr>
      </w:pPr>
      <w:r w:rsidRPr="005C5FA0">
        <w:rPr>
          <w:rFonts w:ascii="Verdana" w:hAnsi="Verdana" w:cs="Times New Roman"/>
        </w:rPr>
        <w:t>Under the attest</w:t>
      </w:r>
      <w:r w:rsidR="00672CCC" w:rsidRPr="005C5FA0">
        <w:rPr>
          <w:rFonts w:ascii="Verdana" w:hAnsi="Verdana" w:cs="Times New Roman"/>
        </w:rPr>
        <w:t>ation</w:t>
      </w:r>
      <w:r w:rsidRPr="005C5FA0">
        <w:rPr>
          <w:rFonts w:ascii="Verdana" w:hAnsi="Verdana" w:cs="Times New Roman"/>
        </w:rPr>
        <w:t xml:space="preserve"> standards, </w:t>
      </w:r>
      <w:r w:rsidR="00F434F7" w:rsidRPr="005C5FA0">
        <w:rPr>
          <w:rFonts w:ascii="Verdana" w:hAnsi="Verdana" w:cs="Times New Roman"/>
        </w:rPr>
        <w:t>the practitioner need not perform procedures beyond the procedures agreed to and acknowledged by the engaging party to be appropriate for the intended purpose of the engagement</w:t>
      </w:r>
      <w:r w:rsidR="00672CCC" w:rsidRPr="005C5FA0">
        <w:rPr>
          <w:rFonts w:ascii="Verdana" w:hAnsi="Verdana" w:cs="Times New Roman"/>
        </w:rPr>
        <w:t xml:space="preserve">. </w:t>
      </w:r>
      <w:r w:rsidR="00F434F7" w:rsidRPr="005C5FA0">
        <w:rPr>
          <w:rFonts w:ascii="Verdana" w:hAnsi="Verdana" w:cs="Times New Roman"/>
        </w:rPr>
        <w:t xml:space="preserve"> </w:t>
      </w:r>
      <w:r w:rsidR="00672CCC" w:rsidRPr="005C5FA0">
        <w:rPr>
          <w:rFonts w:ascii="Verdana" w:hAnsi="Verdana" w:cs="Times New Roman"/>
        </w:rPr>
        <w:t>I</w:t>
      </w:r>
      <w:r w:rsidR="00F434F7" w:rsidRPr="005C5FA0">
        <w:rPr>
          <w:rFonts w:ascii="Verdana" w:hAnsi="Verdana" w:cs="Times New Roman"/>
        </w:rPr>
        <w:t>f</w:t>
      </w:r>
      <w:r w:rsidR="00672CCC" w:rsidRPr="005C5FA0">
        <w:rPr>
          <w:rFonts w:ascii="Verdana" w:hAnsi="Verdana" w:cs="Times New Roman"/>
        </w:rPr>
        <w:t>,</w:t>
      </w:r>
      <w:r w:rsidR="00F434F7" w:rsidRPr="005C5FA0">
        <w:rPr>
          <w:rFonts w:ascii="Verdana" w:hAnsi="Verdana" w:cs="Times New Roman"/>
        </w:rPr>
        <w:t xml:space="preserve"> in connection with the application of the procedures and through the completion of the engagement, matters</w:t>
      </w:r>
      <w:r w:rsidR="00AC59F8" w:rsidRPr="005C5FA0">
        <w:rPr>
          <w:rFonts w:ascii="Verdana" w:hAnsi="Verdana" w:cs="Times New Roman"/>
        </w:rPr>
        <w:t xml:space="preserve"> </w:t>
      </w:r>
      <w:r w:rsidR="00F434F7" w:rsidRPr="005C5FA0">
        <w:rPr>
          <w:rFonts w:ascii="Verdana" w:hAnsi="Verdana" w:cs="Times New Roman"/>
        </w:rPr>
        <w:t>come to the practitioner's attention by other means that significantly contradict the subject matter referred to in the practitioner's report, the practitioner</w:t>
      </w:r>
      <w:r w:rsidR="00AC59F8" w:rsidRPr="005C5FA0">
        <w:rPr>
          <w:rFonts w:ascii="Verdana" w:hAnsi="Verdana" w:cs="Times New Roman"/>
        </w:rPr>
        <w:t xml:space="preserve"> </w:t>
      </w:r>
      <w:r w:rsidR="00F434F7" w:rsidRPr="005C5FA0">
        <w:rPr>
          <w:rFonts w:ascii="Verdana" w:hAnsi="Verdana" w:cs="Times New Roman"/>
        </w:rPr>
        <w:t>should discuss the matter with the engaging party and take appropriate action, including determining whether the practitioner's report should be revised</w:t>
      </w:r>
      <w:r w:rsidR="00AC59F8" w:rsidRPr="005C5FA0">
        <w:rPr>
          <w:rFonts w:ascii="Verdana" w:hAnsi="Verdana" w:cs="Times New Roman"/>
        </w:rPr>
        <w:t xml:space="preserve"> </w:t>
      </w:r>
      <w:r w:rsidR="00F434F7" w:rsidRPr="005C5FA0">
        <w:rPr>
          <w:rFonts w:ascii="Verdana" w:hAnsi="Verdana" w:cs="Times New Roman"/>
        </w:rPr>
        <w:t>to disclose the matter</w:t>
      </w:r>
      <w:r w:rsidR="00AC59F8" w:rsidRPr="005C5FA0">
        <w:rPr>
          <w:rFonts w:ascii="Verdana" w:hAnsi="Verdana" w:cs="Times New Roman"/>
        </w:rPr>
        <w:t xml:space="preserve">. </w:t>
      </w:r>
      <w:r w:rsidR="00230F9C" w:rsidRPr="005C5FA0">
        <w:rPr>
          <w:rFonts w:ascii="Verdana" w:hAnsi="Verdana" w:cs="Times New Roman"/>
        </w:rPr>
        <w:t>While the reporting of these matters with</w:t>
      </w:r>
      <w:r w:rsidR="00672CCC" w:rsidRPr="005C5FA0">
        <w:rPr>
          <w:rFonts w:ascii="Verdana" w:hAnsi="Verdana" w:cs="Times New Roman"/>
        </w:rPr>
        <w:t>in</w:t>
      </w:r>
      <w:r w:rsidR="00230F9C" w:rsidRPr="005C5FA0">
        <w:rPr>
          <w:rFonts w:ascii="Verdana" w:hAnsi="Verdana" w:cs="Times New Roman"/>
        </w:rPr>
        <w:t xml:space="preserve"> the AUP report is at the practitioner’s discretion, the practitioner still has an obligation to consider the associated risk/noncompliance as part of </w:t>
      </w:r>
      <w:r w:rsidR="00672CCC" w:rsidRPr="005C5FA0">
        <w:rPr>
          <w:rFonts w:ascii="Verdana" w:hAnsi="Verdana" w:cs="Times New Roman"/>
        </w:rPr>
        <w:t>the</w:t>
      </w:r>
      <w:r w:rsidR="00230F9C" w:rsidRPr="005C5FA0">
        <w:rPr>
          <w:rFonts w:ascii="Verdana" w:hAnsi="Verdana" w:cs="Times New Roman"/>
        </w:rPr>
        <w:t xml:space="preserve"> </w:t>
      </w:r>
      <w:r w:rsidR="00230F9C" w:rsidRPr="005C5FA0">
        <w:rPr>
          <w:rFonts w:ascii="Verdana" w:hAnsi="Verdana" w:cs="Times New Roman"/>
          <w:u w:val="single"/>
        </w:rPr>
        <w:t>audit</w:t>
      </w:r>
      <w:r w:rsidR="00230F9C" w:rsidRPr="005C5FA0">
        <w:rPr>
          <w:rFonts w:ascii="Verdana" w:hAnsi="Verdana" w:cs="Times New Roman"/>
        </w:rPr>
        <w:t xml:space="preserve">.  </w:t>
      </w:r>
    </w:p>
    <w:p w14:paraId="288CB6BC" w14:textId="21FB2ACC" w:rsidR="00773CBA" w:rsidRPr="005C5FA0" w:rsidRDefault="006124AE" w:rsidP="00263767">
      <w:pPr>
        <w:jc w:val="both"/>
        <w:rPr>
          <w:rFonts w:ascii="Verdana" w:hAnsi="Verdana" w:cs="Times New Roman"/>
        </w:rPr>
      </w:pPr>
      <w:r w:rsidRPr="005C5FA0">
        <w:rPr>
          <w:rFonts w:ascii="Verdana" w:hAnsi="Verdana" w:cs="Times New Roman"/>
        </w:rPr>
        <w:t>If the practitioner has gained “knowledge of matters outside agreed-upon procedures” related to fraud, theft, or the pledge/loan/donation of public funds (LA Const. Art. 7, Section 14</w:t>
      </w:r>
      <w:r w:rsidR="00845BF4" w:rsidRPr="005C5FA0">
        <w:rPr>
          <w:rStyle w:val="FootnoteReference"/>
          <w:rFonts w:ascii="Verdana" w:hAnsi="Verdana" w:cs="Times New Roman"/>
        </w:rPr>
        <w:footnoteReference w:id="3"/>
      </w:r>
      <w:r w:rsidRPr="005C5FA0">
        <w:rPr>
          <w:rFonts w:ascii="Verdana" w:hAnsi="Verdana" w:cs="Times New Roman"/>
        </w:rPr>
        <w:t xml:space="preserve">), </w:t>
      </w:r>
      <w:r w:rsidRPr="005C5FA0">
        <w:rPr>
          <w:rFonts w:ascii="Verdana" w:hAnsi="Verdana" w:cs="Times New Roman"/>
          <w:u w:val="single"/>
        </w:rPr>
        <w:t xml:space="preserve">and the practitioner does not include </w:t>
      </w:r>
      <w:r w:rsidR="00F70499" w:rsidRPr="005C5FA0">
        <w:rPr>
          <w:rFonts w:ascii="Verdana" w:hAnsi="Verdana" w:cs="Times New Roman"/>
          <w:u w:val="single"/>
        </w:rPr>
        <w:t xml:space="preserve">these matters </w:t>
      </w:r>
      <w:r w:rsidRPr="005C5FA0">
        <w:rPr>
          <w:rFonts w:ascii="Verdana" w:hAnsi="Verdana" w:cs="Times New Roman"/>
          <w:u w:val="single"/>
        </w:rPr>
        <w:t>in either the AUP report or in the audit report</w:t>
      </w:r>
      <w:r w:rsidRPr="005C5FA0">
        <w:rPr>
          <w:rFonts w:ascii="Verdana" w:hAnsi="Verdana" w:cs="Times New Roman"/>
        </w:rPr>
        <w:t xml:space="preserve">, the practitioner </w:t>
      </w:r>
      <w:r w:rsidRPr="005C5FA0">
        <w:rPr>
          <w:rFonts w:ascii="Verdana" w:hAnsi="Verdana" w:cs="Times New Roman"/>
          <w:b/>
          <w:u w:val="single"/>
        </w:rPr>
        <w:t>MUST</w:t>
      </w:r>
      <w:r w:rsidRPr="005C5FA0">
        <w:rPr>
          <w:rFonts w:ascii="Verdana" w:hAnsi="Verdana" w:cs="Times New Roman"/>
        </w:rPr>
        <w:t xml:space="preserve"> contact the LLA to discuss</w:t>
      </w:r>
      <w:r w:rsidR="00733963" w:rsidRPr="005C5FA0">
        <w:rPr>
          <w:rFonts w:ascii="Verdana" w:hAnsi="Verdana" w:cs="Times New Roman"/>
        </w:rPr>
        <w:t xml:space="preserve"> before submitting the reports</w:t>
      </w:r>
      <w:r w:rsidR="00552893" w:rsidRPr="005C5FA0">
        <w:rPr>
          <w:rFonts w:ascii="Verdana" w:hAnsi="Verdana" w:cs="Times New Roman"/>
        </w:rPr>
        <w:t>.</w:t>
      </w:r>
    </w:p>
    <w:p w14:paraId="3BA590E0" w14:textId="60EB0A16" w:rsidR="002F44B1" w:rsidRPr="005C5FA0" w:rsidRDefault="002F44B1" w:rsidP="00263767">
      <w:pPr>
        <w:jc w:val="both"/>
        <w:rPr>
          <w:rFonts w:ascii="Verdana" w:hAnsi="Verdana" w:cs="Times New Roman"/>
        </w:rPr>
      </w:pPr>
    </w:p>
    <w:p w14:paraId="394B1DFE" w14:textId="49F8EFCB" w:rsidR="00773CBA" w:rsidRPr="005C5FA0" w:rsidRDefault="00773CBA" w:rsidP="00263767">
      <w:pPr>
        <w:jc w:val="both"/>
        <w:rPr>
          <w:rFonts w:ascii="Verdana" w:hAnsi="Verdana" w:cs="Times New Roman"/>
          <w:b/>
          <w:i/>
          <w:u w:val="single"/>
        </w:rPr>
      </w:pPr>
      <w:bookmarkStart w:id="10" w:name="LOCAL_QUASI_APPLICABILITY"/>
      <w:r w:rsidRPr="005C5FA0">
        <w:rPr>
          <w:rFonts w:ascii="Verdana" w:hAnsi="Verdana" w:cs="Times New Roman"/>
          <w:b/>
          <w:i/>
          <w:u w:val="single"/>
        </w:rPr>
        <w:lastRenderedPageBreak/>
        <w:t>Applicability of AUPs</w:t>
      </w:r>
      <w:r w:rsidR="00C73A1A" w:rsidRPr="005C5FA0">
        <w:rPr>
          <w:rFonts w:ascii="Verdana" w:hAnsi="Verdana" w:cs="Times New Roman"/>
          <w:b/>
          <w:i/>
          <w:u w:val="single"/>
        </w:rPr>
        <w:t xml:space="preserve"> – </w:t>
      </w:r>
      <w:r w:rsidR="00535F4E" w:rsidRPr="005C5FA0">
        <w:rPr>
          <w:rFonts w:ascii="Verdana" w:hAnsi="Verdana" w:cs="Times New Roman"/>
          <w:b/>
          <w:i/>
          <w:u w:val="single"/>
        </w:rPr>
        <w:t xml:space="preserve">Local </w:t>
      </w:r>
      <w:r w:rsidR="00C73A1A" w:rsidRPr="005C5FA0">
        <w:rPr>
          <w:rFonts w:ascii="Verdana" w:hAnsi="Verdana" w:cs="Times New Roman"/>
          <w:b/>
          <w:i/>
          <w:u w:val="single"/>
        </w:rPr>
        <w:t>Government</w:t>
      </w:r>
      <w:r w:rsidR="00AE2882" w:rsidRPr="005C5FA0">
        <w:rPr>
          <w:rFonts w:ascii="Verdana" w:hAnsi="Verdana" w:cs="Times New Roman"/>
          <w:b/>
          <w:i/>
          <w:u w:val="single"/>
        </w:rPr>
        <w:t>s</w:t>
      </w:r>
      <w:r w:rsidR="00C73A1A" w:rsidRPr="005C5FA0">
        <w:rPr>
          <w:rFonts w:ascii="Verdana" w:hAnsi="Verdana" w:cs="Times New Roman"/>
          <w:b/>
          <w:i/>
          <w:u w:val="single"/>
        </w:rPr>
        <w:t xml:space="preserve"> </w:t>
      </w:r>
      <w:r w:rsidR="00841FBC" w:rsidRPr="005C5FA0">
        <w:rPr>
          <w:rFonts w:ascii="Verdana" w:hAnsi="Verdana" w:cs="Times New Roman"/>
          <w:b/>
          <w:i/>
          <w:u w:val="single"/>
        </w:rPr>
        <w:t xml:space="preserve">and Quasi-Public </w:t>
      </w:r>
      <w:r w:rsidR="00C73A1A" w:rsidRPr="005C5FA0">
        <w:rPr>
          <w:rFonts w:ascii="Verdana" w:hAnsi="Verdana" w:cs="Times New Roman"/>
          <w:b/>
          <w:i/>
          <w:u w:val="single"/>
        </w:rPr>
        <w:t>Entities</w:t>
      </w:r>
    </w:p>
    <w:bookmarkEnd w:id="10"/>
    <w:p w14:paraId="5EF09588" w14:textId="6E3D6575" w:rsidR="00C73A1A" w:rsidRPr="005C5FA0" w:rsidRDefault="00841FBC" w:rsidP="00C73A1A">
      <w:pPr>
        <w:jc w:val="both"/>
        <w:rPr>
          <w:rFonts w:ascii="Verdana" w:hAnsi="Verdana" w:cs="Times New Roman"/>
        </w:rPr>
      </w:pPr>
      <w:r w:rsidRPr="005C5FA0">
        <w:rPr>
          <w:rFonts w:ascii="Verdana" w:hAnsi="Verdana" w:cs="Times New Roman"/>
        </w:rPr>
        <w:t>These AUPs are applicable to all l</w:t>
      </w:r>
      <w:r w:rsidR="00C73A1A" w:rsidRPr="005C5FA0">
        <w:rPr>
          <w:rFonts w:ascii="Verdana" w:hAnsi="Verdana" w:cs="Times New Roman"/>
        </w:rPr>
        <w:t xml:space="preserve">ocal governments </w:t>
      </w:r>
      <w:r w:rsidRPr="005C5FA0">
        <w:rPr>
          <w:rFonts w:ascii="Verdana" w:hAnsi="Verdana" w:cs="Times New Roman"/>
        </w:rPr>
        <w:t xml:space="preserve">and quasi-public entities defined in R.S. 24:513(A)(1)(b) paragraphs </w:t>
      </w:r>
      <w:proofErr w:type="spellStart"/>
      <w:r w:rsidRPr="005C5FA0">
        <w:rPr>
          <w:rFonts w:ascii="Verdana" w:hAnsi="Verdana" w:cs="Times New Roman"/>
        </w:rPr>
        <w:t>i</w:t>
      </w:r>
      <w:proofErr w:type="spellEnd"/>
      <w:r w:rsidRPr="005C5FA0">
        <w:rPr>
          <w:rFonts w:ascii="Verdana" w:hAnsi="Verdana" w:cs="Times New Roman"/>
        </w:rPr>
        <w:t xml:space="preserve"> through iii and v as follows:</w:t>
      </w:r>
    </w:p>
    <w:p w14:paraId="068DE4BC" w14:textId="23DAF8C8" w:rsidR="00841FBC" w:rsidRPr="005C5FA0" w:rsidRDefault="00AE2882" w:rsidP="00254A13">
      <w:pPr>
        <w:pStyle w:val="ListParagraph"/>
        <w:numPr>
          <w:ilvl w:val="0"/>
          <w:numId w:val="72"/>
        </w:numPr>
        <w:spacing w:after="220"/>
        <w:contextualSpacing w:val="0"/>
        <w:jc w:val="both"/>
        <w:rPr>
          <w:rFonts w:ascii="Verdana" w:hAnsi="Verdana"/>
          <w:i/>
          <w:sz w:val="22"/>
          <w:szCs w:val="22"/>
        </w:rPr>
      </w:pPr>
      <w:r w:rsidRPr="005C5FA0">
        <w:rPr>
          <w:rFonts w:ascii="Verdana" w:hAnsi="Verdana"/>
          <w:i/>
          <w:sz w:val="22"/>
          <w:szCs w:val="22"/>
        </w:rPr>
        <w:t>An organization, either not-for-profit or for-profit, created by the state of Louisiana or any political subdivision or agency thereof, any special district or authority, or unit of local government to perform a public purpose.</w:t>
      </w:r>
    </w:p>
    <w:p w14:paraId="2286E8B3" w14:textId="21AC2DAF" w:rsidR="00AE2882" w:rsidRPr="005C5FA0" w:rsidRDefault="00AE2882" w:rsidP="00254A13">
      <w:pPr>
        <w:pStyle w:val="ListParagraph"/>
        <w:numPr>
          <w:ilvl w:val="0"/>
          <w:numId w:val="72"/>
        </w:numPr>
        <w:spacing w:after="220"/>
        <w:contextualSpacing w:val="0"/>
        <w:jc w:val="both"/>
        <w:rPr>
          <w:rFonts w:ascii="Verdana" w:hAnsi="Verdana"/>
          <w:i/>
          <w:sz w:val="22"/>
          <w:szCs w:val="22"/>
        </w:rPr>
      </w:pPr>
      <w:r w:rsidRPr="005C5FA0">
        <w:rPr>
          <w:rFonts w:ascii="Verdana" w:hAnsi="Verdana"/>
          <w:i/>
          <w:sz w:val="22"/>
          <w:szCs w:val="22"/>
        </w:rPr>
        <w:t>An organization, either not-for-profit or for-profit, that is a component unit of a governmental reporting entity, as defined under generally accepted accounting principles.</w:t>
      </w:r>
    </w:p>
    <w:p w14:paraId="65615555" w14:textId="52EE686D" w:rsidR="00AE2882" w:rsidRPr="005C5FA0" w:rsidRDefault="00AE2882" w:rsidP="00254A13">
      <w:pPr>
        <w:pStyle w:val="ListParagraph"/>
        <w:numPr>
          <w:ilvl w:val="0"/>
          <w:numId w:val="72"/>
        </w:numPr>
        <w:spacing w:after="220"/>
        <w:contextualSpacing w:val="0"/>
        <w:jc w:val="both"/>
        <w:rPr>
          <w:rFonts w:ascii="Verdana" w:hAnsi="Verdana"/>
          <w:i/>
          <w:sz w:val="22"/>
          <w:szCs w:val="22"/>
        </w:rPr>
      </w:pPr>
      <w:r w:rsidRPr="005C5FA0">
        <w:rPr>
          <w:rFonts w:ascii="Verdana" w:hAnsi="Verdana"/>
          <w:i/>
          <w:sz w:val="22"/>
          <w:szCs w:val="22"/>
        </w:rPr>
        <w:t>An organization, either not-for-profit or for-profit, created to perform a public purpose and having one or more of the following characteristics:</w:t>
      </w:r>
    </w:p>
    <w:p w14:paraId="1F28FEDB" w14:textId="23599CBD" w:rsidR="00AE2882" w:rsidRPr="005C5FA0"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5C5FA0">
        <w:rPr>
          <w:rFonts w:ascii="Verdana" w:hAnsi="Verdana"/>
          <w:i/>
          <w:sz w:val="22"/>
          <w:szCs w:val="22"/>
        </w:rPr>
        <w:t>The governing body is elected by the general public.</w:t>
      </w:r>
    </w:p>
    <w:p w14:paraId="3FDECE9C" w14:textId="3808AE7B" w:rsidR="00AE2882" w:rsidRPr="005C5FA0"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5C5FA0">
        <w:rPr>
          <w:rFonts w:ascii="Verdana" w:hAnsi="Verdana"/>
          <w:i/>
          <w:sz w:val="22"/>
          <w:szCs w:val="22"/>
        </w:rPr>
        <w:t>A majority of the governing body is appointed by or authorized to be appointed a governmental entity or individual government official as a part of his official duties.</w:t>
      </w:r>
    </w:p>
    <w:p w14:paraId="401A7FB9" w14:textId="46821F55" w:rsidR="00AE2882" w:rsidRPr="005C5FA0"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5C5FA0">
        <w:rPr>
          <w:rFonts w:ascii="Verdana" w:hAnsi="Verdana"/>
          <w:i/>
          <w:sz w:val="22"/>
          <w:szCs w:val="22"/>
        </w:rPr>
        <w:t>The entity is the recipient of the proceeds of an ad valorem tax or general sales tax levied specifically for its operations.</w:t>
      </w:r>
    </w:p>
    <w:p w14:paraId="08F8D633" w14:textId="637F0233" w:rsidR="00AE2882" w:rsidRPr="005C5FA0"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5C5FA0">
        <w:rPr>
          <w:rFonts w:ascii="Verdana" w:hAnsi="Verdana"/>
          <w:i/>
          <w:sz w:val="22"/>
          <w:szCs w:val="22"/>
        </w:rPr>
        <w:t>The entity is able to directly issue debt, the interest on which is exempt from federal taxation.</w:t>
      </w:r>
    </w:p>
    <w:p w14:paraId="1A843AB1" w14:textId="1276804F" w:rsidR="00AE2882" w:rsidRPr="005C5FA0" w:rsidRDefault="00AE2882" w:rsidP="006A3E9C">
      <w:pPr>
        <w:pStyle w:val="ListParagraph"/>
        <w:numPr>
          <w:ilvl w:val="1"/>
          <w:numId w:val="72"/>
        </w:numPr>
        <w:spacing w:after="220"/>
        <w:ind w:left="2160" w:hanging="720"/>
        <w:contextualSpacing w:val="0"/>
        <w:jc w:val="both"/>
        <w:rPr>
          <w:rFonts w:ascii="Verdana" w:hAnsi="Verdana"/>
          <w:i/>
          <w:sz w:val="22"/>
          <w:szCs w:val="22"/>
        </w:rPr>
      </w:pPr>
      <w:r w:rsidRPr="005C5FA0">
        <w:rPr>
          <w:rFonts w:ascii="Verdana" w:hAnsi="Verdana"/>
          <w:i/>
          <w:sz w:val="22"/>
          <w:szCs w:val="22"/>
        </w:rPr>
        <w:t>The entity can be dissolved unilaterally by a governmental entity and its net assets assumed without compensation by that governmental entity.</w:t>
      </w:r>
    </w:p>
    <w:p w14:paraId="67250F7E" w14:textId="51BBD45D" w:rsidR="00AE2882" w:rsidRPr="005C5FA0" w:rsidRDefault="00AE2882" w:rsidP="00254A13">
      <w:pPr>
        <w:pStyle w:val="ListParagraph"/>
        <w:numPr>
          <w:ilvl w:val="0"/>
          <w:numId w:val="73"/>
        </w:numPr>
        <w:spacing w:after="220"/>
        <w:contextualSpacing w:val="0"/>
        <w:jc w:val="both"/>
        <w:rPr>
          <w:rFonts w:ascii="Verdana" w:hAnsi="Verdana"/>
          <w:i/>
          <w:sz w:val="22"/>
          <w:szCs w:val="22"/>
        </w:rPr>
      </w:pPr>
      <w:r w:rsidRPr="005C5FA0">
        <w:rPr>
          <w:rFonts w:ascii="Verdana" w:hAnsi="Verdana"/>
          <w:i/>
          <w:sz w:val="22"/>
          <w:szCs w:val="22"/>
        </w:rPr>
        <w:t>Any organization, either not-for-profit or for-profit, which is subject to the open meetings law and derives a portion of its income from payments received from any public agency or body.</w:t>
      </w:r>
    </w:p>
    <w:p w14:paraId="664BD398" w14:textId="31C98654" w:rsidR="00E22D3C" w:rsidRPr="005C5FA0" w:rsidRDefault="00E22D3C" w:rsidP="00263767">
      <w:pPr>
        <w:jc w:val="both"/>
        <w:rPr>
          <w:rFonts w:ascii="Verdana" w:hAnsi="Verdana" w:cs="Times New Roman"/>
        </w:rPr>
      </w:pPr>
      <w:r w:rsidRPr="005C5FA0">
        <w:rPr>
          <w:rFonts w:ascii="Verdana" w:hAnsi="Verdana" w:cs="Times New Roman"/>
        </w:rPr>
        <w:t xml:space="preserve">For </w:t>
      </w:r>
      <w:r w:rsidRPr="005C5FA0">
        <w:rPr>
          <w:rFonts w:ascii="Verdana" w:hAnsi="Verdana" w:cs="Times New Roman"/>
          <w:b/>
        </w:rPr>
        <w:t>multi-state quasi-public entities</w:t>
      </w:r>
      <w:r w:rsidRPr="005C5FA0">
        <w:rPr>
          <w:rFonts w:ascii="Verdana" w:hAnsi="Verdana" w:cs="Times New Roman"/>
        </w:rPr>
        <w:t xml:space="preserve">, the AUPs are applicable for only Louisiana funds.  For example, if a multi-state agency with Louisiana offices has a payroll function that is not funded with Louisiana funds, then the payroll AUP section would not be applicable.  </w:t>
      </w:r>
    </w:p>
    <w:p w14:paraId="34915300" w14:textId="09C80A8F" w:rsidR="00841FBC" w:rsidRPr="005C5FA0" w:rsidRDefault="00037856" w:rsidP="00C459E5">
      <w:pPr>
        <w:jc w:val="both"/>
        <w:rPr>
          <w:rFonts w:ascii="Verdana" w:hAnsi="Verdana" w:cs="Times New Roman"/>
          <w:b/>
          <w:i/>
          <w:u w:val="single"/>
        </w:rPr>
      </w:pPr>
      <w:bookmarkStart w:id="11" w:name="APPLICABILITY_COMPONENT_UNITS"/>
      <w:r w:rsidRPr="005C5FA0">
        <w:rPr>
          <w:rFonts w:ascii="Verdana" w:hAnsi="Verdana" w:cs="Times New Roman"/>
          <w:b/>
          <w:i/>
          <w:u w:val="single"/>
        </w:rPr>
        <w:t xml:space="preserve">Applicability of AUPs - </w:t>
      </w:r>
      <w:r w:rsidR="00841FBC" w:rsidRPr="005C5FA0">
        <w:rPr>
          <w:rFonts w:ascii="Verdana" w:hAnsi="Verdana" w:cs="Times New Roman"/>
          <w:b/>
          <w:i/>
          <w:u w:val="single"/>
        </w:rPr>
        <w:t>Component Units</w:t>
      </w:r>
      <w:bookmarkEnd w:id="11"/>
    </w:p>
    <w:p w14:paraId="5A5EEC98" w14:textId="4E821155" w:rsidR="00C459E5" w:rsidRPr="005C5FA0" w:rsidRDefault="00C459E5" w:rsidP="00C459E5">
      <w:pPr>
        <w:jc w:val="both"/>
        <w:rPr>
          <w:rFonts w:ascii="Verdana" w:hAnsi="Verdana" w:cs="Times New Roman"/>
        </w:rPr>
      </w:pPr>
      <w:r w:rsidRPr="005C5FA0">
        <w:rPr>
          <w:rFonts w:ascii="Verdana" w:hAnsi="Verdana" w:cs="Times New Roman"/>
        </w:rPr>
        <w:t>The scope of the AUPs applies to the primary reporting entity and is not required to be extended to discretely presented component units of the entity</w:t>
      </w:r>
      <w:r w:rsidR="00841FBC" w:rsidRPr="005C5FA0">
        <w:rPr>
          <w:rFonts w:ascii="Verdana" w:hAnsi="Verdana" w:cs="Times New Roman"/>
        </w:rPr>
        <w:t>.</w:t>
      </w:r>
      <w:r w:rsidRPr="005C5FA0">
        <w:rPr>
          <w:rFonts w:ascii="Verdana" w:hAnsi="Verdana" w:cs="Times New Roman"/>
        </w:rPr>
        <w:t xml:space="preserve"> </w:t>
      </w:r>
      <w:r w:rsidR="00841FBC" w:rsidRPr="005C5FA0">
        <w:rPr>
          <w:rFonts w:ascii="Verdana" w:hAnsi="Verdana" w:cs="Times New Roman"/>
        </w:rPr>
        <w:t>H</w:t>
      </w:r>
      <w:r w:rsidRPr="005C5FA0">
        <w:rPr>
          <w:rFonts w:ascii="Verdana" w:hAnsi="Verdana" w:cs="Times New Roman"/>
        </w:rPr>
        <w:t xml:space="preserve">owever, entities that are discrete component units of a </w:t>
      </w:r>
      <w:r w:rsidR="00841FBC" w:rsidRPr="005C5FA0">
        <w:rPr>
          <w:rFonts w:ascii="Verdana" w:hAnsi="Verdana" w:cs="Times New Roman"/>
        </w:rPr>
        <w:t>primary</w:t>
      </w:r>
      <w:r w:rsidRPr="005C5FA0">
        <w:rPr>
          <w:rFonts w:ascii="Verdana" w:hAnsi="Verdana" w:cs="Times New Roman"/>
        </w:rPr>
        <w:t xml:space="preserve"> government </w:t>
      </w:r>
      <w:r w:rsidRPr="005C5FA0">
        <w:rPr>
          <w:rFonts w:ascii="Verdana" w:hAnsi="Verdana" w:cs="Times New Roman"/>
          <w:u w:val="single"/>
        </w:rPr>
        <w:t>and</w:t>
      </w:r>
      <w:r w:rsidRPr="005C5FA0">
        <w:rPr>
          <w:rFonts w:ascii="Verdana" w:hAnsi="Verdana" w:cs="Times New Roman"/>
        </w:rPr>
        <w:t xml:space="preserve"> separately report to </w:t>
      </w:r>
      <w:r w:rsidRPr="005C5FA0">
        <w:rPr>
          <w:rFonts w:ascii="Verdana" w:hAnsi="Verdana" w:cs="Times New Roman"/>
        </w:rPr>
        <w:lastRenderedPageBreak/>
        <w:t>the LLA are individually subject to the AUPs.  Discrete component units that separately report to the LLA but have portions of their operations performed by the primary government (payroll processing</w:t>
      </w:r>
      <w:r w:rsidR="004C5CA2" w:rsidRPr="005C5FA0">
        <w:rPr>
          <w:rFonts w:ascii="Verdana" w:hAnsi="Verdana" w:cs="Times New Roman"/>
        </w:rPr>
        <w:t>, for example</w:t>
      </w:r>
      <w:r w:rsidRPr="005C5FA0">
        <w:rPr>
          <w:rFonts w:ascii="Verdana" w:hAnsi="Verdana" w:cs="Times New Roman"/>
        </w:rPr>
        <w:t>) are exempt from those portions of the AUPs relating to the operations performed by the primary government</w:t>
      </w:r>
      <w:r w:rsidR="00841FBC" w:rsidRPr="005C5FA0">
        <w:rPr>
          <w:rFonts w:ascii="Verdana" w:hAnsi="Verdana" w:cs="Times New Roman"/>
        </w:rPr>
        <w:t>:</w:t>
      </w:r>
      <w:r w:rsidRPr="005C5FA0">
        <w:rPr>
          <w:rFonts w:ascii="Verdana" w:hAnsi="Verdana" w:cs="Times New Roman"/>
        </w:rPr>
        <w:t xml:space="preserve"> instead, AUPs performed at the primary government should address those areas</w:t>
      </w:r>
      <w:r w:rsidR="00841FBC" w:rsidRPr="005C5FA0">
        <w:rPr>
          <w:rFonts w:ascii="Verdana" w:hAnsi="Verdana" w:cs="Times New Roman"/>
        </w:rPr>
        <w:t>.</w:t>
      </w:r>
      <w:r w:rsidRPr="005C5FA0">
        <w:rPr>
          <w:rFonts w:ascii="Verdana" w:hAnsi="Verdana" w:cs="Times New Roman"/>
        </w:rPr>
        <w:t xml:space="preserve"> </w:t>
      </w:r>
    </w:p>
    <w:p w14:paraId="191A2EAF" w14:textId="3B90272A" w:rsidR="00C73A1A" w:rsidRPr="005C5FA0" w:rsidRDefault="00C73A1A" w:rsidP="00C73A1A">
      <w:pPr>
        <w:jc w:val="both"/>
        <w:rPr>
          <w:rFonts w:ascii="Verdana" w:hAnsi="Verdana" w:cs="Times New Roman"/>
          <w:b/>
          <w:i/>
          <w:u w:val="single"/>
        </w:rPr>
      </w:pPr>
      <w:bookmarkStart w:id="12" w:name="APPLICABILITY_NOT_FOR_PROFIT"/>
      <w:r w:rsidRPr="005C5FA0">
        <w:rPr>
          <w:rFonts w:ascii="Verdana" w:hAnsi="Verdana" w:cs="Times New Roman"/>
          <w:b/>
          <w:i/>
          <w:u w:val="single"/>
        </w:rPr>
        <w:t>Applicability of AUPs –No</w:t>
      </w:r>
      <w:r w:rsidR="00841FBC" w:rsidRPr="005C5FA0">
        <w:rPr>
          <w:rFonts w:ascii="Verdana" w:hAnsi="Verdana" w:cs="Times New Roman"/>
          <w:b/>
          <w:i/>
          <w:u w:val="single"/>
        </w:rPr>
        <w:t>t-for</w:t>
      </w:r>
      <w:r w:rsidRPr="005C5FA0">
        <w:rPr>
          <w:rFonts w:ascii="Verdana" w:hAnsi="Verdana" w:cs="Times New Roman"/>
          <w:b/>
          <w:i/>
          <w:u w:val="single"/>
        </w:rPr>
        <w:t>-Profit</w:t>
      </w:r>
      <w:r w:rsidR="004C5CA2" w:rsidRPr="005C5FA0">
        <w:rPr>
          <w:rFonts w:ascii="Verdana" w:hAnsi="Verdana" w:cs="Times New Roman"/>
          <w:b/>
          <w:i/>
          <w:u w:val="single"/>
        </w:rPr>
        <w:t xml:space="preserve"> Entities</w:t>
      </w:r>
    </w:p>
    <w:bookmarkEnd w:id="12"/>
    <w:p w14:paraId="370D5ECD" w14:textId="637F70D5" w:rsidR="00037856" w:rsidRPr="005C5FA0" w:rsidRDefault="00037856" w:rsidP="00C73A1A">
      <w:pPr>
        <w:jc w:val="both"/>
        <w:rPr>
          <w:rFonts w:ascii="Verdana" w:hAnsi="Verdana" w:cs="Times New Roman"/>
        </w:rPr>
      </w:pPr>
      <w:r w:rsidRPr="005C5FA0">
        <w:rPr>
          <w:rFonts w:ascii="Verdana" w:hAnsi="Verdana" w:cs="Times New Roman"/>
        </w:rPr>
        <w:t xml:space="preserve">These AUPs are applicable </w:t>
      </w:r>
      <w:r w:rsidRPr="005C5FA0">
        <w:rPr>
          <w:rFonts w:ascii="Verdana" w:hAnsi="Verdana" w:cs="Times New Roman"/>
          <w:b/>
        </w:rPr>
        <w:t>to only the public funds</w:t>
      </w:r>
      <w:r w:rsidRPr="005C5FA0">
        <w:rPr>
          <w:rFonts w:ascii="Verdana" w:hAnsi="Verdana" w:cs="Times New Roman"/>
        </w:rPr>
        <w:t xml:space="preserve"> of not-for-profit entities defined in R.S. 24:513(B)(1)(b)(iv) as follows:</w:t>
      </w:r>
    </w:p>
    <w:p w14:paraId="2AEDED34" w14:textId="5A611356" w:rsidR="00037856" w:rsidRPr="005C5FA0" w:rsidRDefault="00037856" w:rsidP="006A3E9C">
      <w:pPr>
        <w:pStyle w:val="ListParagraph"/>
        <w:numPr>
          <w:ilvl w:val="0"/>
          <w:numId w:val="74"/>
        </w:numPr>
        <w:ind w:hanging="725"/>
        <w:jc w:val="both"/>
        <w:rPr>
          <w:rFonts w:ascii="Verdana" w:hAnsi="Verdana"/>
          <w:i/>
          <w:sz w:val="22"/>
          <w:szCs w:val="22"/>
        </w:rPr>
      </w:pPr>
      <w:r w:rsidRPr="005C5FA0">
        <w:rPr>
          <w:rFonts w:ascii="Verdana" w:hAnsi="Verdana"/>
          <w:i/>
          <w:sz w:val="22"/>
          <w:szCs w:val="22"/>
        </w:rPr>
        <w:t>Any not-for-profit organization that receives or expends any local or state assistance in any fiscal year. Assistance shall include grants, loans, transfers of property, awards, and direct appropriations of state or local public funds. Assistance shall not include guarantees, membership dues, vendor contracts for goods and services related to administrative support for a local or state assistance program, assistance to private or parochial schools except as provided in R.S. 17:4022, assistance to private colleges and universities, or benefits to individuals.</w:t>
      </w:r>
    </w:p>
    <w:p w14:paraId="592FBB15" w14:textId="77777777" w:rsidR="00254A13" w:rsidRPr="005C5FA0" w:rsidRDefault="00254A13" w:rsidP="00254A13">
      <w:pPr>
        <w:pStyle w:val="ListParagraph"/>
        <w:ind w:left="1445"/>
        <w:jc w:val="both"/>
        <w:rPr>
          <w:rFonts w:ascii="Verdana" w:hAnsi="Verdana"/>
          <w:i/>
          <w:sz w:val="22"/>
          <w:szCs w:val="22"/>
        </w:rPr>
      </w:pPr>
    </w:p>
    <w:p w14:paraId="68953153" w14:textId="44341CFA" w:rsidR="00037856" w:rsidRPr="005C5FA0" w:rsidRDefault="00037856" w:rsidP="00C73A1A">
      <w:pPr>
        <w:jc w:val="both"/>
        <w:rPr>
          <w:rFonts w:ascii="Verdana" w:hAnsi="Verdana" w:cs="Times New Roman"/>
        </w:rPr>
      </w:pPr>
      <w:r w:rsidRPr="005C5FA0">
        <w:rPr>
          <w:rFonts w:ascii="Verdana" w:hAnsi="Verdana" w:cs="Times New Roman"/>
        </w:rPr>
        <w:t>In addition, these AUPs are applicable to the not-for-profit</w:t>
      </w:r>
      <w:r w:rsidR="00A43DB3" w:rsidRPr="005C5FA0">
        <w:rPr>
          <w:rFonts w:ascii="Verdana" w:hAnsi="Verdana" w:cs="Times New Roman"/>
        </w:rPr>
        <w:t xml:space="preserve"> entities </w:t>
      </w:r>
      <w:r w:rsidR="00E22D3C" w:rsidRPr="005C5FA0">
        <w:rPr>
          <w:rFonts w:ascii="Verdana" w:hAnsi="Verdana" w:cs="Times New Roman"/>
        </w:rPr>
        <w:t xml:space="preserve">defined in paragraph iv above </w:t>
      </w:r>
      <w:r w:rsidR="00A43DB3" w:rsidRPr="005C5FA0">
        <w:rPr>
          <w:rFonts w:ascii="Verdana" w:hAnsi="Verdana" w:cs="Times New Roman"/>
        </w:rPr>
        <w:t xml:space="preserve">only if their revenues and other sources of </w:t>
      </w:r>
      <w:r w:rsidR="00A43DB3" w:rsidRPr="005C5FA0">
        <w:rPr>
          <w:rFonts w:ascii="Verdana" w:hAnsi="Verdana" w:cs="Times New Roman"/>
          <w:b/>
        </w:rPr>
        <w:t>public funds</w:t>
      </w:r>
      <w:r w:rsidR="00A43DB3" w:rsidRPr="005C5FA0">
        <w:rPr>
          <w:rFonts w:ascii="Verdana" w:hAnsi="Verdana" w:cs="Times New Roman"/>
        </w:rPr>
        <w:t xml:space="preserve"> total at least $500,000. Only those AUP areas applicable to </w:t>
      </w:r>
      <w:r w:rsidR="00A43DB3" w:rsidRPr="005C5FA0">
        <w:rPr>
          <w:rFonts w:ascii="Verdana" w:hAnsi="Verdana" w:cs="Times New Roman"/>
          <w:b/>
        </w:rPr>
        <w:t>public funds</w:t>
      </w:r>
      <w:r w:rsidR="00A43DB3" w:rsidRPr="005C5FA0">
        <w:rPr>
          <w:rFonts w:ascii="Verdana" w:hAnsi="Verdana" w:cs="Times New Roman"/>
        </w:rPr>
        <w:t xml:space="preserve"> administered by the not-for-profit entity are required to be included in the scope of the AUP engagement. The </w:t>
      </w:r>
      <w:hyperlink r:id="rId12" w:history="1">
        <w:r w:rsidR="00A43DB3" w:rsidRPr="005C5FA0">
          <w:rPr>
            <w:rStyle w:val="Hyperlink"/>
            <w:rFonts w:ascii="Verdana" w:hAnsi="Verdana" w:cs="Times New Roman"/>
          </w:rPr>
          <w:t>Reporting Requirements for Not-for-Profit Organizations</w:t>
        </w:r>
      </w:hyperlink>
      <w:r w:rsidR="00A43DB3" w:rsidRPr="005C5FA0">
        <w:rPr>
          <w:rFonts w:ascii="Verdana" w:hAnsi="Verdana" w:cs="Times New Roman"/>
        </w:rPr>
        <w:t xml:space="preserve"> document may be useful in identifying public assistance, calculating revenues and other sources of funds, and determining which type of report not-for-profit entities are required to submit to the LLA.</w:t>
      </w:r>
    </w:p>
    <w:p w14:paraId="28C3D01E" w14:textId="2C817748" w:rsidR="004B2CC7" w:rsidRPr="005C5FA0" w:rsidRDefault="004B2CC7" w:rsidP="003F796C">
      <w:pPr>
        <w:jc w:val="both"/>
        <w:rPr>
          <w:rFonts w:ascii="Verdana" w:hAnsi="Verdana" w:cs="Times New Roman"/>
        </w:rPr>
      </w:pPr>
      <w:r w:rsidRPr="005C5FA0">
        <w:rPr>
          <w:rFonts w:ascii="Verdana" w:hAnsi="Verdana" w:cs="Times New Roman"/>
        </w:rPr>
        <w:t xml:space="preserve">For </w:t>
      </w:r>
      <w:r w:rsidRPr="005C5FA0">
        <w:rPr>
          <w:rFonts w:ascii="Verdana" w:hAnsi="Verdana" w:cs="Times New Roman"/>
          <w:b/>
        </w:rPr>
        <w:t>multi-state no</w:t>
      </w:r>
      <w:r w:rsidR="00A43DB3" w:rsidRPr="005C5FA0">
        <w:rPr>
          <w:rFonts w:ascii="Verdana" w:hAnsi="Verdana" w:cs="Times New Roman"/>
          <w:b/>
        </w:rPr>
        <w:t>t</w:t>
      </w:r>
      <w:r w:rsidRPr="005C5FA0">
        <w:rPr>
          <w:rFonts w:ascii="Verdana" w:hAnsi="Verdana" w:cs="Times New Roman"/>
          <w:b/>
        </w:rPr>
        <w:t>-</w:t>
      </w:r>
      <w:r w:rsidR="00A43DB3" w:rsidRPr="005C5FA0">
        <w:rPr>
          <w:rFonts w:ascii="Verdana" w:hAnsi="Verdana" w:cs="Times New Roman"/>
          <w:b/>
        </w:rPr>
        <w:t>for-</w:t>
      </w:r>
      <w:r w:rsidRPr="005C5FA0">
        <w:rPr>
          <w:rFonts w:ascii="Verdana" w:hAnsi="Verdana" w:cs="Times New Roman"/>
          <w:b/>
        </w:rPr>
        <w:t>profit</w:t>
      </w:r>
      <w:r w:rsidR="00A43DB3" w:rsidRPr="005C5FA0">
        <w:rPr>
          <w:rFonts w:ascii="Verdana" w:hAnsi="Verdana" w:cs="Times New Roman"/>
          <w:b/>
        </w:rPr>
        <w:t xml:space="preserve"> entities</w:t>
      </w:r>
      <w:r w:rsidRPr="005C5FA0">
        <w:rPr>
          <w:rFonts w:ascii="Verdana" w:hAnsi="Verdana" w:cs="Times New Roman"/>
          <w:b/>
        </w:rPr>
        <w:t xml:space="preserve">, </w:t>
      </w:r>
      <w:r w:rsidRPr="005C5FA0">
        <w:rPr>
          <w:rFonts w:ascii="Verdana" w:hAnsi="Verdana" w:cs="Times New Roman"/>
        </w:rPr>
        <w:t xml:space="preserve">the AUPs are applicable for </w:t>
      </w:r>
      <w:r w:rsidR="00E22D3C" w:rsidRPr="005C5FA0">
        <w:rPr>
          <w:rFonts w:ascii="Verdana" w:hAnsi="Verdana" w:cs="Times New Roman"/>
        </w:rPr>
        <w:t xml:space="preserve">only </w:t>
      </w:r>
      <w:r w:rsidRPr="005C5FA0">
        <w:rPr>
          <w:rFonts w:ascii="Verdana" w:hAnsi="Verdana" w:cs="Times New Roman"/>
        </w:rPr>
        <w:t xml:space="preserve">Louisiana funds.  For example, if a multi-state </w:t>
      </w:r>
      <w:r w:rsidR="00E22D3C" w:rsidRPr="005C5FA0">
        <w:rPr>
          <w:rFonts w:ascii="Verdana" w:hAnsi="Verdana" w:cs="Times New Roman"/>
        </w:rPr>
        <w:t>not-for-profit entity</w:t>
      </w:r>
      <w:r w:rsidRPr="005C5FA0">
        <w:rPr>
          <w:rFonts w:ascii="Verdana" w:hAnsi="Verdana" w:cs="Times New Roman"/>
        </w:rPr>
        <w:t xml:space="preserve"> with </w:t>
      </w:r>
      <w:r w:rsidR="00813826">
        <w:rPr>
          <w:rFonts w:ascii="Verdana" w:hAnsi="Verdana" w:cs="Times New Roman"/>
        </w:rPr>
        <w:t xml:space="preserve">New </w:t>
      </w:r>
      <w:r w:rsidR="00F94089">
        <w:rPr>
          <w:rFonts w:ascii="Verdana" w:hAnsi="Verdana" w:cs="Times New Roman"/>
        </w:rPr>
        <w:t xml:space="preserve">York </w:t>
      </w:r>
      <w:r w:rsidR="00F94089" w:rsidRPr="005C5FA0">
        <w:rPr>
          <w:rFonts w:ascii="Verdana" w:hAnsi="Verdana" w:cs="Times New Roman"/>
        </w:rPr>
        <w:t>offices</w:t>
      </w:r>
      <w:r w:rsidRPr="005C5FA0">
        <w:rPr>
          <w:rFonts w:ascii="Verdana" w:hAnsi="Verdana" w:cs="Times New Roman"/>
        </w:rPr>
        <w:t xml:space="preserve"> has a payroll function that is funded with Louisiana funds, then the payroll AUP section would be applicable.  </w:t>
      </w:r>
    </w:p>
    <w:p w14:paraId="1B7BDECC" w14:textId="77777777" w:rsidR="00254A13" w:rsidRPr="005C5FA0" w:rsidRDefault="00254A13" w:rsidP="009B6143">
      <w:pPr>
        <w:jc w:val="both"/>
        <w:rPr>
          <w:rFonts w:ascii="Verdana" w:hAnsi="Verdana" w:cs="Times New Roman"/>
          <w:b/>
          <w:i/>
          <w:u w:val="single"/>
        </w:rPr>
      </w:pPr>
    </w:p>
    <w:p w14:paraId="6664F3C6" w14:textId="1729039A" w:rsidR="003F796C" w:rsidRPr="005C5FA0" w:rsidRDefault="009B6143" w:rsidP="009B6143">
      <w:pPr>
        <w:jc w:val="both"/>
        <w:rPr>
          <w:rFonts w:ascii="Verdana" w:hAnsi="Verdana" w:cs="Times New Roman"/>
          <w:b/>
          <w:i/>
          <w:u w:val="single"/>
        </w:rPr>
      </w:pPr>
      <w:bookmarkStart w:id="13" w:name="EXEMPTION_SINGLE_AUDIT"/>
      <w:r w:rsidRPr="005C5FA0">
        <w:rPr>
          <w:rFonts w:ascii="Verdana" w:hAnsi="Verdana" w:cs="Times New Roman"/>
          <w:b/>
          <w:i/>
          <w:u w:val="single"/>
        </w:rPr>
        <w:t>AUP Exemption – Single Audit</w:t>
      </w:r>
      <w:bookmarkEnd w:id="13"/>
      <w:r w:rsidRPr="005C5FA0">
        <w:rPr>
          <w:rFonts w:ascii="Verdana" w:hAnsi="Verdana" w:cs="Times New Roman"/>
          <w:b/>
          <w:i/>
          <w:u w:val="single"/>
        </w:rPr>
        <w:t xml:space="preserve"> </w:t>
      </w:r>
    </w:p>
    <w:p w14:paraId="587EAF14" w14:textId="49D7CC5D" w:rsidR="007A360D" w:rsidRPr="005C5FA0" w:rsidRDefault="00CF1694" w:rsidP="00263767">
      <w:pPr>
        <w:jc w:val="both"/>
        <w:rPr>
          <w:rFonts w:ascii="Verdana" w:hAnsi="Verdana" w:cs="Times New Roman"/>
        </w:rPr>
      </w:pPr>
      <w:r w:rsidRPr="005C5FA0">
        <w:rPr>
          <w:rFonts w:ascii="Verdana" w:hAnsi="Verdana" w:cs="Times New Roman"/>
        </w:rPr>
        <w:t>If either a government</w:t>
      </w:r>
      <w:r w:rsidR="00283A93" w:rsidRPr="005C5FA0">
        <w:rPr>
          <w:rFonts w:ascii="Verdana" w:hAnsi="Verdana" w:cs="Times New Roman"/>
        </w:rPr>
        <w:t>al</w:t>
      </w:r>
      <w:r w:rsidR="00E22D3C" w:rsidRPr="005C5FA0">
        <w:rPr>
          <w:rFonts w:ascii="Verdana" w:hAnsi="Verdana" w:cs="Times New Roman"/>
        </w:rPr>
        <w:t>, quasi-public entity</w:t>
      </w:r>
      <w:r w:rsidRPr="005C5FA0">
        <w:rPr>
          <w:rFonts w:ascii="Verdana" w:hAnsi="Verdana" w:cs="Times New Roman"/>
        </w:rPr>
        <w:t xml:space="preserve"> or no</w:t>
      </w:r>
      <w:r w:rsidR="00776CEC" w:rsidRPr="005C5FA0">
        <w:rPr>
          <w:rFonts w:ascii="Verdana" w:hAnsi="Verdana" w:cs="Times New Roman"/>
        </w:rPr>
        <w:t>t-for</w:t>
      </w:r>
      <w:r w:rsidRPr="005C5FA0">
        <w:rPr>
          <w:rFonts w:ascii="Verdana" w:hAnsi="Verdana" w:cs="Times New Roman"/>
        </w:rPr>
        <w:t xml:space="preserve">-profit entity </w:t>
      </w:r>
      <w:r w:rsidR="00E22D3C" w:rsidRPr="005C5FA0">
        <w:rPr>
          <w:rFonts w:ascii="Verdana" w:hAnsi="Verdana" w:cs="Times New Roman"/>
        </w:rPr>
        <w:t xml:space="preserve">(collectively known as “local auditee”) </w:t>
      </w:r>
      <w:r w:rsidRPr="005C5FA0">
        <w:rPr>
          <w:rFonts w:ascii="Verdana" w:hAnsi="Verdana" w:cs="Times New Roman"/>
        </w:rPr>
        <w:t xml:space="preserve">has </w:t>
      </w:r>
      <w:r w:rsidR="00A346F0" w:rsidRPr="005C5FA0">
        <w:rPr>
          <w:rFonts w:ascii="Verdana" w:hAnsi="Verdana" w:cs="Times New Roman"/>
        </w:rPr>
        <w:t xml:space="preserve">met the </w:t>
      </w:r>
      <w:r w:rsidR="00E22D3C" w:rsidRPr="005C5FA0">
        <w:rPr>
          <w:rFonts w:ascii="Verdana" w:hAnsi="Verdana" w:cs="Times New Roman"/>
        </w:rPr>
        <w:t xml:space="preserve">$500,000 </w:t>
      </w:r>
      <w:r w:rsidR="00A346F0" w:rsidRPr="005C5FA0">
        <w:rPr>
          <w:rFonts w:ascii="Verdana" w:hAnsi="Verdana" w:cs="Times New Roman"/>
        </w:rPr>
        <w:t>Audit Law threshold</w:t>
      </w:r>
      <w:r w:rsidR="00283A93" w:rsidRPr="005C5FA0">
        <w:rPr>
          <w:rFonts w:ascii="Verdana" w:hAnsi="Verdana" w:cs="Times New Roman"/>
        </w:rPr>
        <w:t>, and all or part of the entity’s public funds are federal major program funds</w:t>
      </w:r>
      <w:r w:rsidR="00A346F0" w:rsidRPr="005C5FA0">
        <w:rPr>
          <w:rFonts w:ascii="Verdana" w:hAnsi="Verdana" w:cs="Times New Roman"/>
        </w:rPr>
        <w:t xml:space="preserve"> (either direct or pass-through) </w:t>
      </w:r>
      <w:r w:rsidR="00283A93" w:rsidRPr="005C5FA0">
        <w:rPr>
          <w:rFonts w:ascii="Verdana" w:hAnsi="Verdana" w:cs="Times New Roman"/>
        </w:rPr>
        <w:t>tested under the entity’s Single Audit during the fiscal period, the entity may exclude</w:t>
      </w:r>
      <w:r w:rsidR="00141FA6" w:rsidRPr="005C5FA0">
        <w:rPr>
          <w:rFonts w:ascii="Verdana" w:hAnsi="Verdana" w:cs="Times New Roman"/>
        </w:rPr>
        <w:t xml:space="preserve"> those AUP categories that are covered under federal program testing, </w:t>
      </w:r>
      <w:r w:rsidR="00141FA6" w:rsidRPr="005C5FA0">
        <w:rPr>
          <w:rFonts w:ascii="Verdana" w:hAnsi="Verdana" w:cs="Times New Roman"/>
        </w:rPr>
        <w:lastRenderedPageBreak/>
        <w:t>regardless of whether the federal program testing includes the same procedures or sample sizes</w:t>
      </w:r>
      <w:r w:rsidR="00283A93" w:rsidRPr="005C5FA0">
        <w:rPr>
          <w:rFonts w:ascii="Verdana" w:hAnsi="Verdana" w:cs="Times New Roman"/>
        </w:rPr>
        <w:t xml:space="preserve">.  </w:t>
      </w:r>
      <w:r w:rsidR="00141FA6" w:rsidRPr="005C5FA0">
        <w:rPr>
          <w:rFonts w:ascii="Verdana" w:hAnsi="Verdana" w:cs="Times New Roman"/>
        </w:rPr>
        <w:t>For example, a no</w:t>
      </w:r>
      <w:r w:rsidR="00E22D3C" w:rsidRPr="005C5FA0">
        <w:rPr>
          <w:rFonts w:ascii="Verdana" w:hAnsi="Verdana" w:cs="Times New Roman"/>
        </w:rPr>
        <w:t>t-for</w:t>
      </w:r>
      <w:r w:rsidR="00141FA6" w:rsidRPr="005C5FA0">
        <w:rPr>
          <w:rFonts w:ascii="Verdana" w:hAnsi="Verdana" w:cs="Times New Roman"/>
        </w:rPr>
        <w:t xml:space="preserve">-profit entity that has one federal program subject to Single Audit testing may exclude credit cards, travel expenditures, non-payroll disbursements, contracts, and payroll and personnel if these areas are subject to </w:t>
      </w:r>
      <w:r w:rsidR="008C34FB" w:rsidRPr="005C5FA0">
        <w:rPr>
          <w:rFonts w:ascii="Verdana" w:hAnsi="Verdana" w:cs="Times New Roman"/>
        </w:rPr>
        <w:t xml:space="preserve">testing under Allowable Costs and Procurement </w:t>
      </w:r>
      <w:r w:rsidR="00CC004B" w:rsidRPr="005C5FA0">
        <w:rPr>
          <w:rFonts w:ascii="Verdana" w:hAnsi="Verdana" w:cs="Times New Roman"/>
        </w:rPr>
        <w:t>in</w:t>
      </w:r>
      <w:r w:rsidR="008C34FB" w:rsidRPr="005C5FA0">
        <w:rPr>
          <w:rFonts w:ascii="Verdana" w:hAnsi="Verdana" w:cs="Times New Roman"/>
        </w:rPr>
        <w:t xml:space="preserve"> the OMB Compliance Supplement; however, the entity would still be subject to other AUP areas that are not addressed in the OMB Compliance Supplement (e.g.</w:t>
      </w:r>
      <w:r w:rsidR="00BD0A4B" w:rsidRPr="005C5FA0">
        <w:rPr>
          <w:rFonts w:ascii="Verdana" w:hAnsi="Verdana" w:cs="Times New Roman"/>
        </w:rPr>
        <w:t>,</w:t>
      </w:r>
      <w:r w:rsidR="008C34FB" w:rsidRPr="005C5FA0">
        <w:rPr>
          <w:rFonts w:ascii="Verdana" w:hAnsi="Verdana" w:cs="Times New Roman"/>
        </w:rPr>
        <w:t xml:space="preserve"> </w:t>
      </w:r>
      <w:r w:rsidR="00E22D3C" w:rsidRPr="005C5FA0">
        <w:rPr>
          <w:rFonts w:ascii="Verdana" w:hAnsi="Verdana" w:cs="Times New Roman"/>
        </w:rPr>
        <w:t>b</w:t>
      </w:r>
      <w:r w:rsidR="008C34FB" w:rsidRPr="005C5FA0">
        <w:rPr>
          <w:rFonts w:ascii="Verdana" w:hAnsi="Verdana" w:cs="Times New Roman"/>
        </w:rPr>
        <w:t>oard or finance committee, bank reconciliations).</w:t>
      </w:r>
      <w:r w:rsidR="007869C4" w:rsidRPr="005C5FA0">
        <w:rPr>
          <w:rFonts w:ascii="Verdana" w:hAnsi="Verdana" w:cs="Times New Roman"/>
        </w:rPr>
        <w:t xml:space="preserve">  However, an entity that has other public funds not subject to testing under the Single Audit must still test those funds under the AUPs.  In that situation, we recommend selecting sample sizes for the applicable AUP categories from the overall population of transactions and then removing those sample items that fall within Single Audit testing.  Alternatively, the practitioner could apply a pro-rata ratio to the AUP sample sizes to accomplish the same goal.</w:t>
      </w:r>
    </w:p>
    <w:p w14:paraId="78DC00F4" w14:textId="53DECD5B" w:rsidR="006E31FA" w:rsidRPr="005C5FA0" w:rsidRDefault="006E31FA" w:rsidP="006E31FA">
      <w:pPr>
        <w:jc w:val="both"/>
        <w:rPr>
          <w:rFonts w:ascii="Verdana" w:hAnsi="Verdana" w:cs="Times New Roman"/>
          <w:b/>
          <w:i/>
          <w:u w:val="single"/>
        </w:rPr>
      </w:pPr>
      <w:bookmarkStart w:id="14" w:name="EXEMPTION_STUDENT_ACTIVITY_FUNDS"/>
      <w:r w:rsidRPr="005C5FA0">
        <w:rPr>
          <w:rFonts w:ascii="Verdana" w:hAnsi="Verdana" w:cs="Times New Roman"/>
          <w:b/>
          <w:i/>
          <w:u w:val="single"/>
        </w:rPr>
        <w:t>AUP Exemption – S</w:t>
      </w:r>
      <w:r w:rsidR="009D778D" w:rsidRPr="005C5FA0">
        <w:rPr>
          <w:rFonts w:ascii="Verdana" w:hAnsi="Verdana" w:cs="Times New Roman"/>
          <w:b/>
          <w:i/>
          <w:u w:val="single"/>
        </w:rPr>
        <w:t>chool or S</w:t>
      </w:r>
      <w:r w:rsidRPr="005C5FA0">
        <w:rPr>
          <w:rFonts w:ascii="Verdana" w:hAnsi="Verdana" w:cs="Times New Roman"/>
          <w:b/>
          <w:i/>
          <w:u w:val="single"/>
        </w:rPr>
        <w:t>tudent Activity Funds</w:t>
      </w:r>
    </w:p>
    <w:bookmarkEnd w:id="14"/>
    <w:p w14:paraId="2B1D854E" w14:textId="065336AA" w:rsidR="006E31FA" w:rsidRPr="005C5FA0" w:rsidRDefault="006E31FA" w:rsidP="006E31FA">
      <w:pPr>
        <w:jc w:val="both"/>
        <w:rPr>
          <w:rFonts w:ascii="Verdana" w:hAnsi="Verdana" w:cs="Times New Roman"/>
        </w:rPr>
      </w:pPr>
      <w:r w:rsidRPr="005C5FA0">
        <w:rPr>
          <w:rFonts w:ascii="Verdana" w:hAnsi="Verdana" w:cs="Times New Roman"/>
        </w:rPr>
        <w:t>School or student activity fund accounts may be excluded from testing under the AUPs if they are otherwise addressed in a separately contracted audit or agreed-upon procedures engagement (which does not have to include the same procedures as in the AUPs).  In this situation, the audit or agreed-upon procedures report is required to be submitted to the LLA as a separate engagement and is not required to be included in the pdf file with the practitioner’s audit/AUP report.</w:t>
      </w:r>
    </w:p>
    <w:p w14:paraId="4164CCE2" w14:textId="7F6045E7" w:rsidR="00956F9C" w:rsidRPr="005C5FA0" w:rsidRDefault="00956F9C" w:rsidP="006E31FA">
      <w:pPr>
        <w:jc w:val="both"/>
        <w:rPr>
          <w:rFonts w:ascii="Verdana" w:hAnsi="Verdana" w:cs="Times New Roman"/>
          <w:b/>
          <w:u w:val="single"/>
        </w:rPr>
      </w:pPr>
      <w:bookmarkStart w:id="15" w:name="EXEMPTION_CSLFR"/>
      <w:r w:rsidRPr="005C5FA0">
        <w:rPr>
          <w:rFonts w:ascii="Verdana" w:hAnsi="Verdana" w:cs="Times New Roman"/>
          <w:b/>
          <w:u w:val="single"/>
        </w:rPr>
        <w:t>AUP Exemption - Coronavirus State and Local Fiscal Recovery Funds Recipients (CSLFR)</w:t>
      </w:r>
    </w:p>
    <w:bookmarkEnd w:id="15"/>
    <w:p w14:paraId="3F59C812" w14:textId="7DC9DF37" w:rsidR="00956F9C" w:rsidRPr="005C5FA0" w:rsidRDefault="00956F9C" w:rsidP="006E31FA">
      <w:pPr>
        <w:jc w:val="both"/>
        <w:rPr>
          <w:rFonts w:ascii="Verdana" w:hAnsi="Verdana" w:cs="Times New Roman"/>
        </w:rPr>
      </w:pPr>
      <w:r w:rsidRPr="005C5FA0">
        <w:rPr>
          <w:rFonts w:ascii="Verdana" w:hAnsi="Verdana" w:cs="Times New Roman"/>
        </w:rPr>
        <w:t>LLA will not require a local auditee to provide for the statewide agreed-upon procedures report for fiscal years in which the local auditee would be required to provide for a review/attestation report, if not for the receipt of CSLFR funds</w:t>
      </w:r>
      <w:r w:rsidR="00E32B95">
        <w:rPr>
          <w:rFonts w:ascii="Verdana" w:hAnsi="Verdana" w:cs="Times New Roman"/>
        </w:rPr>
        <w:t>.</w:t>
      </w:r>
      <w:r w:rsidR="00E75E48">
        <w:rPr>
          <w:rFonts w:ascii="Verdana" w:hAnsi="Verdana" w:cs="Times New Roman"/>
        </w:rPr>
        <w:t xml:space="preserve"> </w:t>
      </w:r>
      <w:r w:rsidR="00813826">
        <w:rPr>
          <w:rFonts w:ascii="Verdana" w:hAnsi="Verdana" w:cs="Times New Roman"/>
        </w:rPr>
        <w:t xml:space="preserve">See </w:t>
      </w:r>
      <w:r w:rsidR="00E75E48">
        <w:rPr>
          <w:rFonts w:ascii="Verdana" w:hAnsi="Verdana" w:cs="Times New Roman"/>
        </w:rPr>
        <w:t>Assistance Listing Number 21.027</w:t>
      </w:r>
      <w:r w:rsidR="00813826">
        <w:rPr>
          <w:rFonts w:ascii="Verdana" w:hAnsi="Verdana" w:cs="Times New Roman"/>
        </w:rPr>
        <w:t xml:space="preserve"> table</w:t>
      </w:r>
      <w:r w:rsidR="00E75E48">
        <w:rPr>
          <w:rFonts w:ascii="Verdana" w:hAnsi="Verdana" w:cs="Times New Roman"/>
        </w:rPr>
        <w:t>, as explained in Audit Risk Alert 46</w:t>
      </w:r>
      <w:r w:rsidR="00F94089">
        <w:rPr>
          <w:rFonts w:ascii="Verdana" w:hAnsi="Verdana" w:cs="Times New Roman"/>
        </w:rPr>
        <w:t>.</w:t>
      </w:r>
      <w:r w:rsidR="00E75E48">
        <w:rPr>
          <w:rFonts w:ascii="Verdana" w:hAnsi="Verdana" w:cs="Times New Roman"/>
        </w:rPr>
        <w:t xml:space="preserve"> </w:t>
      </w:r>
      <w:r w:rsidR="00813826" w:rsidRPr="00813826">
        <w:t xml:space="preserve"> </w:t>
      </w:r>
      <w:hyperlink r:id="rId13" w:history="1">
        <w:r w:rsidR="009F0144" w:rsidRPr="00E32B95">
          <w:rPr>
            <w:rStyle w:val="Hyperlink"/>
          </w:rPr>
          <w:t>https://cms.lla.la.gov/assets/lagag/audit-risk-alert-no.-46-change-in-sa-and-saup-requirement-for-cslfrfrecipients-table.pdf</w:t>
        </w:r>
      </w:hyperlink>
    </w:p>
    <w:p w14:paraId="31ACFEBE" w14:textId="0849AFD7" w:rsidR="009B6143" w:rsidRPr="005C5FA0" w:rsidRDefault="006E31FA" w:rsidP="00263767">
      <w:pPr>
        <w:jc w:val="both"/>
        <w:rPr>
          <w:rFonts w:ascii="Verdana" w:hAnsi="Verdana" w:cs="Times New Roman"/>
          <w:b/>
          <w:i/>
          <w:u w:val="single"/>
        </w:rPr>
      </w:pPr>
      <w:bookmarkStart w:id="16" w:name="EXEMPTION_OTHER"/>
      <w:r w:rsidRPr="005C5FA0">
        <w:rPr>
          <w:rFonts w:ascii="Verdana" w:hAnsi="Verdana" w:cs="Times New Roman"/>
          <w:b/>
          <w:i/>
          <w:u w:val="single"/>
        </w:rPr>
        <w:t xml:space="preserve">Other Entities Exempt from the </w:t>
      </w:r>
      <w:r w:rsidR="009B6143" w:rsidRPr="005C5FA0">
        <w:rPr>
          <w:rFonts w:ascii="Verdana" w:hAnsi="Verdana" w:cs="Times New Roman"/>
          <w:b/>
          <w:i/>
          <w:u w:val="single"/>
        </w:rPr>
        <w:t>AUP</w:t>
      </w:r>
      <w:r w:rsidRPr="005C5FA0">
        <w:rPr>
          <w:rFonts w:ascii="Verdana" w:hAnsi="Verdana" w:cs="Times New Roman"/>
          <w:b/>
          <w:i/>
          <w:u w:val="single"/>
        </w:rPr>
        <w:t xml:space="preserve">s </w:t>
      </w:r>
    </w:p>
    <w:bookmarkEnd w:id="16"/>
    <w:p w14:paraId="535DB992" w14:textId="77777777" w:rsidR="009B6143" w:rsidRPr="005C5FA0" w:rsidRDefault="00773CBA" w:rsidP="00263767">
      <w:pPr>
        <w:jc w:val="both"/>
        <w:rPr>
          <w:rFonts w:ascii="Verdana" w:hAnsi="Verdana" w:cs="Times New Roman"/>
        </w:rPr>
      </w:pPr>
      <w:r w:rsidRPr="005C5FA0">
        <w:rPr>
          <w:rFonts w:ascii="Verdana" w:hAnsi="Verdana" w:cs="Times New Roman"/>
        </w:rPr>
        <w:t>S</w:t>
      </w:r>
      <w:r w:rsidR="00417C40" w:rsidRPr="005C5FA0">
        <w:rPr>
          <w:rFonts w:ascii="Verdana" w:hAnsi="Verdana" w:cs="Times New Roman"/>
        </w:rPr>
        <w:t>tate entities</w:t>
      </w:r>
      <w:r w:rsidR="00A5584A" w:rsidRPr="005C5FA0">
        <w:rPr>
          <w:rFonts w:ascii="Verdana" w:hAnsi="Verdana" w:cs="Times New Roman"/>
        </w:rPr>
        <w:t xml:space="preserve"> whose financial information is</w:t>
      </w:r>
      <w:r w:rsidR="00417C40" w:rsidRPr="005C5FA0">
        <w:rPr>
          <w:rFonts w:ascii="Verdana" w:hAnsi="Verdana" w:cs="Times New Roman"/>
        </w:rPr>
        <w:t xml:space="preserve"> included</w:t>
      </w:r>
      <w:r w:rsidR="00A5584A" w:rsidRPr="005C5FA0">
        <w:rPr>
          <w:rFonts w:ascii="Verdana" w:hAnsi="Verdana" w:cs="Times New Roman"/>
        </w:rPr>
        <w:t xml:space="preserve"> </w:t>
      </w:r>
      <w:r w:rsidR="00417C40" w:rsidRPr="005C5FA0">
        <w:rPr>
          <w:rFonts w:ascii="Verdana" w:hAnsi="Verdana" w:cs="Times New Roman"/>
        </w:rPr>
        <w:t xml:space="preserve">in the Annual </w:t>
      </w:r>
      <w:r w:rsidR="003B58F2" w:rsidRPr="005C5FA0">
        <w:rPr>
          <w:rFonts w:ascii="Verdana" w:hAnsi="Verdana" w:cs="Times New Roman"/>
        </w:rPr>
        <w:t xml:space="preserve">Comprehensive </w:t>
      </w:r>
      <w:r w:rsidR="00417C40" w:rsidRPr="005C5FA0">
        <w:rPr>
          <w:rFonts w:ascii="Verdana" w:hAnsi="Verdana" w:cs="Times New Roman"/>
        </w:rPr>
        <w:t>Financial Report of the State of Louisiana</w:t>
      </w:r>
      <w:r w:rsidR="005E35AD" w:rsidRPr="005C5FA0">
        <w:rPr>
          <w:rFonts w:ascii="Verdana" w:hAnsi="Verdana" w:cs="Times New Roman"/>
        </w:rPr>
        <w:t xml:space="preserve"> </w:t>
      </w:r>
      <w:r w:rsidR="00417C40" w:rsidRPr="005C5FA0">
        <w:rPr>
          <w:rFonts w:ascii="Verdana" w:hAnsi="Verdana" w:cs="Times New Roman"/>
        </w:rPr>
        <w:t xml:space="preserve">are exempt from the </w:t>
      </w:r>
      <w:r w:rsidR="00C77982" w:rsidRPr="005C5FA0">
        <w:rPr>
          <w:rFonts w:ascii="Verdana" w:hAnsi="Verdana" w:cs="Times New Roman"/>
        </w:rPr>
        <w:t>AUPs</w:t>
      </w:r>
      <w:r w:rsidR="00417C40" w:rsidRPr="005C5FA0">
        <w:rPr>
          <w:rFonts w:ascii="Verdana" w:hAnsi="Verdana" w:cs="Times New Roman"/>
        </w:rPr>
        <w:t xml:space="preserve"> below.</w:t>
      </w:r>
      <w:r w:rsidR="00133A56" w:rsidRPr="005C5FA0">
        <w:rPr>
          <w:rFonts w:ascii="Verdana" w:hAnsi="Verdana" w:cs="Times New Roman"/>
        </w:rPr>
        <w:t xml:space="preserve">  </w:t>
      </w:r>
    </w:p>
    <w:p w14:paraId="0F0F7300" w14:textId="4884B0E7" w:rsidR="00D262B8" w:rsidRPr="005C5FA0" w:rsidRDefault="00133A56" w:rsidP="00263767">
      <w:pPr>
        <w:jc w:val="both"/>
        <w:rPr>
          <w:rFonts w:ascii="Verdana" w:hAnsi="Verdana" w:cs="Times New Roman"/>
        </w:rPr>
      </w:pPr>
      <w:r w:rsidRPr="005C5FA0">
        <w:rPr>
          <w:rFonts w:ascii="Verdana" w:hAnsi="Verdana" w:cs="Times New Roman"/>
        </w:rPr>
        <w:t>Private and</w:t>
      </w:r>
      <w:r w:rsidR="00773CBA" w:rsidRPr="005C5FA0">
        <w:rPr>
          <w:rFonts w:ascii="Verdana" w:hAnsi="Verdana" w:cs="Times New Roman"/>
        </w:rPr>
        <w:t xml:space="preserve"> parochial schools</w:t>
      </w:r>
      <w:r w:rsidR="003848DC" w:rsidRPr="005C5FA0">
        <w:rPr>
          <w:rFonts w:ascii="Verdana" w:hAnsi="Verdana" w:cs="Times New Roman"/>
        </w:rPr>
        <w:t xml:space="preserve">, as well </w:t>
      </w:r>
      <w:r w:rsidR="003B58F2" w:rsidRPr="005C5FA0">
        <w:rPr>
          <w:rFonts w:ascii="Verdana" w:hAnsi="Verdana" w:cs="Times New Roman"/>
        </w:rPr>
        <w:t xml:space="preserve">as </w:t>
      </w:r>
      <w:r w:rsidR="003848DC" w:rsidRPr="005C5FA0">
        <w:rPr>
          <w:rFonts w:ascii="Verdana" w:hAnsi="Verdana" w:cs="Times New Roman"/>
        </w:rPr>
        <w:t>university foundations, facility corporations, and booster associations,</w:t>
      </w:r>
      <w:r w:rsidR="00773CBA" w:rsidRPr="005C5FA0">
        <w:rPr>
          <w:rFonts w:ascii="Verdana" w:hAnsi="Verdana" w:cs="Times New Roman"/>
        </w:rPr>
        <w:t xml:space="preserve"> are specifically excluded</w:t>
      </w:r>
      <w:r w:rsidR="003848DC" w:rsidRPr="005C5FA0">
        <w:rPr>
          <w:rFonts w:ascii="Verdana" w:hAnsi="Verdana" w:cs="Times New Roman"/>
        </w:rPr>
        <w:t xml:space="preserve"> by law</w:t>
      </w:r>
      <w:r w:rsidR="00773CBA" w:rsidRPr="005C5FA0">
        <w:rPr>
          <w:rFonts w:ascii="Verdana" w:hAnsi="Verdana" w:cs="Times New Roman"/>
        </w:rPr>
        <w:t xml:space="preserve"> from having to provide audit reports to the LLA and </w:t>
      </w:r>
      <w:r w:rsidR="00A5584A" w:rsidRPr="005C5FA0">
        <w:rPr>
          <w:rFonts w:ascii="Verdana" w:hAnsi="Verdana" w:cs="Times New Roman"/>
        </w:rPr>
        <w:t>are</w:t>
      </w:r>
      <w:r w:rsidR="00773CBA" w:rsidRPr="005C5FA0">
        <w:rPr>
          <w:rFonts w:ascii="Verdana" w:hAnsi="Verdana" w:cs="Times New Roman"/>
        </w:rPr>
        <w:t xml:space="preserve"> exempt from the AU</w:t>
      </w:r>
      <w:r w:rsidR="007D036F" w:rsidRPr="005C5FA0">
        <w:rPr>
          <w:rFonts w:ascii="Verdana" w:hAnsi="Verdana" w:cs="Times New Roman"/>
        </w:rPr>
        <w:t>Ps.</w:t>
      </w:r>
      <w:r w:rsidR="002313E5" w:rsidRPr="005C5FA0">
        <w:rPr>
          <w:rFonts w:ascii="Verdana" w:hAnsi="Verdana" w:cs="Times New Roman"/>
        </w:rPr>
        <w:t xml:space="preserve">  Real estate for-profit limited </w:t>
      </w:r>
      <w:r w:rsidR="002313E5" w:rsidRPr="005C5FA0">
        <w:rPr>
          <w:rFonts w:ascii="Verdana" w:hAnsi="Verdana" w:cs="Times New Roman"/>
        </w:rPr>
        <w:lastRenderedPageBreak/>
        <w:t xml:space="preserve">partnership entities </w:t>
      </w:r>
      <w:r w:rsidR="006E31FA" w:rsidRPr="005C5FA0">
        <w:rPr>
          <w:rFonts w:ascii="Verdana" w:hAnsi="Verdana" w:cs="Times New Roman"/>
        </w:rPr>
        <w:t>are</w:t>
      </w:r>
      <w:r w:rsidR="002313E5" w:rsidRPr="005C5FA0">
        <w:rPr>
          <w:rFonts w:ascii="Verdana" w:hAnsi="Verdana" w:cs="Times New Roman"/>
        </w:rPr>
        <w:t xml:space="preserve"> exempt from the AUPs based on the nature of their operations.</w:t>
      </w:r>
    </w:p>
    <w:p w14:paraId="133FFD21" w14:textId="77777777" w:rsidR="00254A13" w:rsidRPr="005C5FA0" w:rsidRDefault="00254A13" w:rsidP="00263767">
      <w:pPr>
        <w:jc w:val="both"/>
        <w:rPr>
          <w:rFonts w:ascii="Verdana" w:hAnsi="Verdana" w:cs="Times New Roman"/>
          <w:b/>
          <w:i/>
          <w:u w:val="single"/>
        </w:rPr>
      </w:pPr>
    </w:p>
    <w:p w14:paraId="67C8671C" w14:textId="74AC5109" w:rsidR="009B6143" w:rsidRPr="005C5FA0" w:rsidRDefault="009B6143" w:rsidP="00263767">
      <w:pPr>
        <w:jc w:val="both"/>
        <w:rPr>
          <w:rFonts w:ascii="Verdana" w:hAnsi="Verdana" w:cs="Times New Roman"/>
          <w:b/>
          <w:i/>
          <w:u w:val="single"/>
        </w:rPr>
      </w:pPr>
      <w:bookmarkStart w:id="17" w:name="SAUP_VS_OTHER_AUP"/>
      <w:r w:rsidRPr="005C5FA0">
        <w:rPr>
          <w:rFonts w:ascii="Verdana" w:hAnsi="Verdana" w:cs="Times New Roman"/>
          <w:b/>
          <w:i/>
          <w:u w:val="single"/>
        </w:rPr>
        <w:t xml:space="preserve">Statewide AUPs </w:t>
      </w:r>
      <w:r w:rsidR="006E31FA" w:rsidRPr="005C5FA0">
        <w:rPr>
          <w:rFonts w:ascii="Verdana" w:hAnsi="Verdana" w:cs="Times New Roman"/>
          <w:b/>
          <w:i/>
          <w:u w:val="single"/>
        </w:rPr>
        <w:t xml:space="preserve">Compared </w:t>
      </w:r>
      <w:r w:rsidR="003B7CFE" w:rsidRPr="005C5FA0">
        <w:rPr>
          <w:rFonts w:ascii="Verdana" w:hAnsi="Verdana" w:cs="Times New Roman"/>
          <w:b/>
          <w:i/>
          <w:u w:val="single"/>
        </w:rPr>
        <w:t>w</w:t>
      </w:r>
      <w:r w:rsidR="006E31FA" w:rsidRPr="005C5FA0">
        <w:rPr>
          <w:rFonts w:ascii="Verdana" w:hAnsi="Verdana" w:cs="Times New Roman"/>
          <w:b/>
          <w:i/>
          <w:u w:val="single"/>
        </w:rPr>
        <w:t>ith</w:t>
      </w:r>
      <w:r w:rsidRPr="005C5FA0">
        <w:rPr>
          <w:rFonts w:ascii="Verdana" w:hAnsi="Verdana" w:cs="Times New Roman"/>
          <w:b/>
          <w:i/>
          <w:u w:val="single"/>
        </w:rPr>
        <w:t xml:space="preserve"> Other Required AUP Types</w:t>
      </w:r>
    </w:p>
    <w:bookmarkEnd w:id="17"/>
    <w:p w14:paraId="7C20E964" w14:textId="1DC94C28" w:rsidR="00600AFA" w:rsidRPr="005C5FA0" w:rsidRDefault="00600AFA" w:rsidP="00263767">
      <w:pPr>
        <w:jc w:val="both"/>
        <w:rPr>
          <w:rFonts w:ascii="Verdana" w:hAnsi="Verdana" w:cs="Times New Roman"/>
        </w:rPr>
      </w:pPr>
      <w:r w:rsidRPr="005C5FA0">
        <w:rPr>
          <w:rFonts w:ascii="Verdana" w:hAnsi="Verdana" w:cs="Times New Roman"/>
        </w:rPr>
        <w:t xml:space="preserve">Please note that </w:t>
      </w:r>
      <w:r w:rsidR="0019247F" w:rsidRPr="005C5FA0">
        <w:rPr>
          <w:rFonts w:ascii="Verdana" w:hAnsi="Verdana" w:cs="Times New Roman"/>
        </w:rPr>
        <w:t xml:space="preserve">the </w:t>
      </w:r>
      <w:r w:rsidRPr="005C5FA0">
        <w:rPr>
          <w:rFonts w:ascii="Verdana" w:hAnsi="Verdana" w:cs="Times New Roman"/>
        </w:rPr>
        <w:t xml:space="preserve">statewide AUPs </w:t>
      </w:r>
      <w:r w:rsidR="0019247F" w:rsidRPr="005C5FA0">
        <w:rPr>
          <w:rFonts w:ascii="Verdana" w:hAnsi="Verdana" w:cs="Times New Roman"/>
        </w:rPr>
        <w:t xml:space="preserve">included in this document </w:t>
      </w:r>
      <w:r w:rsidRPr="005C5FA0">
        <w:rPr>
          <w:rFonts w:ascii="Verdana" w:hAnsi="Verdana" w:cs="Times New Roman"/>
        </w:rPr>
        <w:t xml:space="preserve">apply </w:t>
      </w:r>
      <w:r w:rsidR="00457DA8" w:rsidRPr="005C5FA0">
        <w:rPr>
          <w:rFonts w:ascii="Verdana" w:hAnsi="Verdana" w:cs="Times New Roman"/>
        </w:rPr>
        <w:t xml:space="preserve">only </w:t>
      </w:r>
      <w:r w:rsidRPr="005C5FA0">
        <w:rPr>
          <w:rFonts w:ascii="Verdana" w:hAnsi="Verdana" w:cs="Times New Roman"/>
        </w:rPr>
        <w:t>to local governments and quasi-pub</w:t>
      </w:r>
      <w:r w:rsidR="0019247F" w:rsidRPr="005C5FA0">
        <w:rPr>
          <w:rFonts w:ascii="Verdana" w:hAnsi="Verdana" w:cs="Times New Roman"/>
        </w:rPr>
        <w:t>lic entities that meet the requirement to have an audit under the Audit Law.  The LLA also</w:t>
      </w:r>
      <w:r w:rsidRPr="005C5FA0">
        <w:rPr>
          <w:rFonts w:ascii="Verdana" w:hAnsi="Verdana" w:cs="Times New Roman"/>
        </w:rPr>
        <w:t xml:space="preserve"> has </w:t>
      </w:r>
      <w:r w:rsidR="00637C46" w:rsidRPr="005C5FA0">
        <w:rPr>
          <w:rFonts w:ascii="Verdana" w:hAnsi="Verdana" w:cs="Times New Roman"/>
        </w:rPr>
        <w:t>3</w:t>
      </w:r>
      <w:r w:rsidRPr="005C5FA0">
        <w:rPr>
          <w:rFonts w:ascii="Verdana" w:hAnsi="Verdana" w:cs="Times New Roman"/>
        </w:rPr>
        <w:t xml:space="preserve"> other types of agreed-upon procedures engagements</w:t>
      </w:r>
      <w:r w:rsidR="0019247F" w:rsidRPr="005C5FA0">
        <w:rPr>
          <w:rFonts w:ascii="Verdana" w:hAnsi="Verdana" w:cs="Times New Roman"/>
        </w:rPr>
        <w:t xml:space="preserve"> that should not be confused with the statewide AUPs</w:t>
      </w:r>
      <w:r w:rsidRPr="005C5FA0">
        <w:rPr>
          <w:rFonts w:ascii="Verdana" w:hAnsi="Verdana" w:cs="Times New Roman"/>
        </w:rPr>
        <w:t>, as follows:</w:t>
      </w:r>
    </w:p>
    <w:p w14:paraId="15A69518" w14:textId="3865E7EA" w:rsidR="00600AFA" w:rsidRPr="005C5FA0" w:rsidRDefault="00600AFA" w:rsidP="00254A13">
      <w:pPr>
        <w:pStyle w:val="ListParagraph"/>
        <w:numPr>
          <w:ilvl w:val="0"/>
          <w:numId w:val="41"/>
        </w:numPr>
        <w:spacing w:after="220"/>
        <w:ind w:left="1440" w:hanging="720"/>
        <w:contextualSpacing w:val="0"/>
        <w:jc w:val="both"/>
        <w:rPr>
          <w:rFonts w:ascii="Verdana" w:hAnsi="Verdana"/>
          <w:sz w:val="22"/>
          <w:szCs w:val="22"/>
        </w:rPr>
      </w:pPr>
      <w:r w:rsidRPr="005C5FA0">
        <w:rPr>
          <w:rFonts w:ascii="Verdana" w:hAnsi="Verdana"/>
          <w:sz w:val="22"/>
          <w:szCs w:val="22"/>
        </w:rPr>
        <w:t xml:space="preserve">State entity (not “statewide”) agreed-upon procedures are required for certain engagements for entities that are included in the state’s </w:t>
      </w:r>
      <w:r w:rsidR="006E31FA" w:rsidRPr="005C5FA0">
        <w:rPr>
          <w:rFonts w:ascii="Verdana" w:hAnsi="Verdana"/>
          <w:sz w:val="22"/>
          <w:szCs w:val="22"/>
        </w:rPr>
        <w:t>Annual Comprehensive Financial Report</w:t>
      </w:r>
      <w:r w:rsidRPr="005C5FA0">
        <w:rPr>
          <w:rFonts w:ascii="Verdana" w:hAnsi="Verdana"/>
          <w:sz w:val="22"/>
          <w:szCs w:val="22"/>
        </w:rPr>
        <w:t>.  These engagements are contracted directly by the LLA’s Financial Audit Services group and do not apply to local governments or quasi-public entities.</w:t>
      </w:r>
    </w:p>
    <w:p w14:paraId="32B2859F" w14:textId="4188DD70" w:rsidR="0019247F" w:rsidRPr="005C5FA0" w:rsidRDefault="0019247F" w:rsidP="00254A13">
      <w:pPr>
        <w:pStyle w:val="ListParagraph"/>
        <w:numPr>
          <w:ilvl w:val="0"/>
          <w:numId w:val="41"/>
        </w:numPr>
        <w:spacing w:after="220"/>
        <w:ind w:left="1440" w:hanging="720"/>
        <w:contextualSpacing w:val="0"/>
        <w:jc w:val="both"/>
        <w:rPr>
          <w:rFonts w:ascii="Verdana" w:hAnsi="Verdana"/>
          <w:sz w:val="22"/>
          <w:szCs w:val="22"/>
        </w:rPr>
      </w:pPr>
      <w:r w:rsidRPr="005C5FA0">
        <w:rPr>
          <w:rFonts w:ascii="Verdana" w:hAnsi="Verdana"/>
          <w:sz w:val="22"/>
          <w:szCs w:val="22"/>
        </w:rPr>
        <w:t xml:space="preserve">Review/Attest engagements include agreed-upon procedures for local governments and quasi-public entities that differ from the statewide AUPs and apply </w:t>
      </w:r>
      <w:r w:rsidR="00457DA8" w:rsidRPr="005C5FA0">
        <w:rPr>
          <w:rFonts w:ascii="Verdana" w:hAnsi="Verdana"/>
          <w:sz w:val="22"/>
          <w:szCs w:val="22"/>
        </w:rPr>
        <w:t xml:space="preserve">only </w:t>
      </w:r>
      <w:r w:rsidRPr="005C5FA0">
        <w:rPr>
          <w:rFonts w:ascii="Verdana" w:hAnsi="Verdana"/>
          <w:sz w:val="22"/>
          <w:szCs w:val="22"/>
        </w:rPr>
        <w:t xml:space="preserve">to those entities that receive public funds </w:t>
      </w:r>
      <w:r w:rsidR="006E31FA" w:rsidRPr="005C5FA0">
        <w:rPr>
          <w:rFonts w:ascii="Verdana" w:hAnsi="Verdana"/>
          <w:sz w:val="22"/>
          <w:szCs w:val="22"/>
        </w:rPr>
        <w:t xml:space="preserve">of at least </w:t>
      </w:r>
      <w:r w:rsidRPr="005C5FA0">
        <w:rPr>
          <w:rFonts w:ascii="Verdana" w:hAnsi="Verdana"/>
          <w:sz w:val="22"/>
          <w:szCs w:val="22"/>
        </w:rPr>
        <w:t xml:space="preserve">$200,000 </w:t>
      </w:r>
      <w:r w:rsidR="006E31FA" w:rsidRPr="005C5FA0">
        <w:rPr>
          <w:rFonts w:ascii="Verdana" w:hAnsi="Verdana"/>
          <w:sz w:val="22"/>
          <w:szCs w:val="22"/>
        </w:rPr>
        <w:t>but not more than</w:t>
      </w:r>
      <w:r w:rsidRPr="005C5FA0">
        <w:rPr>
          <w:rFonts w:ascii="Verdana" w:hAnsi="Verdana"/>
          <w:sz w:val="22"/>
          <w:szCs w:val="22"/>
        </w:rPr>
        <w:t xml:space="preserve"> $</w:t>
      </w:r>
      <w:r w:rsidR="006E31FA" w:rsidRPr="005C5FA0">
        <w:rPr>
          <w:rFonts w:ascii="Verdana" w:hAnsi="Verdana"/>
          <w:sz w:val="22"/>
          <w:szCs w:val="22"/>
        </w:rPr>
        <w:t>499,999</w:t>
      </w:r>
      <w:r w:rsidRPr="005C5FA0">
        <w:rPr>
          <w:rFonts w:ascii="Verdana" w:hAnsi="Verdana"/>
          <w:sz w:val="22"/>
          <w:szCs w:val="22"/>
        </w:rPr>
        <w:t>.</w:t>
      </w:r>
    </w:p>
    <w:p w14:paraId="3E830B7D" w14:textId="77777777" w:rsidR="0019247F" w:rsidRPr="005C5FA0" w:rsidRDefault="0019247F" w:rsidP="00254A13">
      <w:pPr>
        <w:pStyle w:val="ListParagraph"/>
        <w:numPr>
          <w:ilvl w:val="0"/>
          <w:numId w:val="41"/>
        </w:numPr>
        <w:spacing w:after="220"/>
        <w:ind w:left="1440" w:hanging="720"/>
        <w:contextualSpacing w:val="0"/>
        <w:jc w:val="both"/>
        <w:rPr>
          <w:rFonts w:ascii="Verdana" w:hAnsi="Verdana"/>
          <w:sz w:val="22"/>
          <w:szCs w:val="22"/>
        </w:rPr>
      </w:pPr>
      <w:r w:rsidRPr="005C5FA0">
        <w:rPr>
          <w:rFonts w:ascii="Verdana" w:hAnsi="Verdana"/>
          <w:sz w:val="22"/>
          <w:szCs w:val="22"/>
        </w:rPr>
        <w:t>Department of Education Performance Measures AUPs are required for school boards and charter schools.</w:t>
      </w:r>
    </w:p>
    <w:p w14:paraId="445C8FAE" w14:textId="251D55F2" w:rsidR="00600AFA" w:rsidRPr="005C5FA0" w:rsidRDefault="0019247F" w:rsidP="00600AFA">
      <w:pPr>
        <w:jc w:val="both"/>
        <w:rPr>
          <w:rFonts w:ascii="Verdana" w:hAnsi="Verdana" w:cs="Times New Roman"/>
        </w:rPr>
      </w:pPr>
      <w:r w:rsidRPr="005C5FA0">
        <w:rPr>
          <w:rFonts w:ascii="Verdana" w:hAnsi="Verdana" w:cs="Times New Roman"/>
        </w:rPr>
        <w:t xml:space="preserve">More than one set of </w:t>
      </w:r>
      <w:r w:rsidR="00874B9C" w:rsidRPr="005C5FA0">
        <w:rPr>
          <w:rFonts w:ascii="Verdana" w:hAnsi="Verdana" w:cs="Times New Roman"/>
        </w:rPr>
        <w:t>agreed-upon procedures</w:t>
      </w:r>
      <w:r w:rsidRPr="005C5FA0">
        <w:rPr>
          <w:rFonts w:ascii="Verdana" w:hAnsi="Verdana" w:cs="Times New Roman"/>
        </w:rPr>
        <w:t xml:space="preserve"> may be required, depending on whether each </w:t>
      </w:r>
      <w:r w:rsidR="00457DA8" w:rsidRPr="005C5FA0">
        <w:rPr>
          <w:rFonts w:ascii="Verdana" w:hAnsi="Verdana" w:cs="Times New Roman"/>
        </w:rPr>
        <w:t>criterion</w:t>
      </w:r>
      <w:r w:rsidRPr="005C5FA0">
        <w:rPr>
          <w:rFonts w:ascii="Verdana" w:hAnsi="Verdana" w:cs="Times New Roman"/>
        </w:rPr>
        <w:t xml:space="preserve"> above has been met.  For example, a parish school board with public funds of $500,000 or greater would be subject to both the statewide AUPs and the Department of Education Performance Measures AUPs.</w:t>
      </w:r>
    </w:p>
    <w:p w14:paraId="675F047B" w14:textId="77777777" w:rsidR="00773CBA" w:rsidRPr="005C5FA0" w:rsidRDefault="00773CBA" w:rsidP="00263767">
      <w:pPr>
        <w:jc w:val="both"/>
        <w:rPr>
          <w:rFonts w:ascii="Verdana" w:hAnsi="Verdana" w:cs="Times New Roman"/>
          <w:b/>
          <w:i/>
          <w:u w:val="single"/>
        </w:rPr>
      </w:pPr>
      <w:bookmarkStart w:id="18" w:name="_Hlk78797847"/>
      <w:bookmarkStart w:id="19" w:name="OPTIONS_ALTERNATIVES"/>
      <w:r w:rsidRPr="005C5FA0">
        <w:rPr>
          <w:rFonts w:ascii="Verdana" w:hAnsi="Verdana" w:cs="Times New Roman"/>
          <w:b/>
          <w:i/>
          <w:u w:val="single"/>
        </w:rPr>
        <w:t>Options and Alternatives</w:t>
      </w:r>
    </w:p>
    <w:bookmarkEnd w:id="18"/>
    <w:bookmarkEnd w:id="19"/>
    <w:p w14:paraId="64A13B3E" w14:textId="77777777" w:rsidR="003B616A" w:rsidRPr="005C5FA0" w:rsidRDefault="00B03132" w:rsidP="003B616A">
      <w:pPr>
        <w:jc w:val="both"/>
        <w:rPr>
          <w:rFonts w:ascii="Verdana" w:hAnsi="Verdana" w:cs="Times New Roman"/>
        </w:rPr>
      </w:pPr>
      <w:r w:rsidRPr="005C5FA0">
        <w:rPr>
          <w:rFonts w:ascii="Verdana" w:hAnsi="Verdana" w:cs="Times New Roman"/>
        </w:rPr>
        <w:t xml:space="preserve">The practitioner may avoid duplication of </w:t>
      </w:r>
      <w:r w:rsidR="00AE1DA2" w:rsidRPr="005C5FA0">
        <w:rPr>
          <w:rFonts w:ascii="Verdana" w:hAnsi="Verdana" w:cs="Times New Roman"/>
        </w:rPr>
        <w:t>existing audit procedures</w:t>
      </w:r>
      <w:r w:rsidRPr="005C5FA0">
        <w:rPr>
          <w:rFonts w:ascii="Verdana" w:hAnsi="Verdana" w:cs="Times New Roman"/>
        </w:rPr>
        <w:t xml:space="preserve"> by using the same transactions for both audit and AUP purposes</w:t>
      </w:r>
      <w:r w:rsidR="00AE1DA2" w:rsidRPr="005C5FA0">
        <w:rPr>
          <w:rFonts w:ascii="Verdana" w:hAnsi="Verdana" w:cs="Times New Roman"/>
        </w:rPr>
        <w:t xml:space="preserve">.  For example, if the </w:t>
      </w:r>
      <w:r w:rsidR="00023AF8" w:rsidRPr="005C5FA0">
        <w:rPr>
          <w:rFonts w:ascii="Verdana" w:hAnsi="Verdana" w:cs="Times New Roman"/>
        </w:rPr>
        <w:t>AUP</w:t>
      </w:r>
      <w:r w:rsidR="00B162BA" w:rsidRPr="005C5FA0">
        <w:rPr>
          <w:rFonts w:ascii="Verdana" w:hAnsi="Verdana" w:cs="Times New Roman"/>
        </w:rPr>
        <w:t>s indicate</w:t>
      </w:r>
      <w:r w:rsidR="00AE1DA2" w:rsidRPr="005C5FA0">
        <w:rPr>
          <w:rFonts w:ascii="Verdana" w:hAnsi="Verdana" w:cs="Times New Roman"/>
        </w:rPr>
        <w:t xml:space="preserve"> that </w:t>
      </w:r>
      <w:r w:rsidR="00FE02E7" w:rsidRPr="005C5FA0">
        <w:rPr>
          <w:rFonts w:ascii="Verdana" w:hAnsi="Verdana" w:cs="Times New Roman"/>
        </w:rPr>
        <w:t>10</w:t>
      </w:r>
      <w:r w:rsidR="00AE1DA2" w:rsidRPr="005C5FA0">
        <w:rPr>
          <w:rFonts w:ascii="Verdana" w:hAnsi="Verdana" w:cs="Times New Roman"/>
        </w:rPr>
        <w:t xml:space="preserve"> random transactions should be selected and the practitioner would otherwise plan to test </w:t>
      </w:r>
      <w:r w:rsidR="00FE02E7" w:rsidRPr="005C5FA0">
        <w:rPr>
          <w:rFonts w:ascii="Verdana" w:hAnsi="Verdana" w:cs="Times New Roman"/>
        </w:rPr>
        <w:t>25</w:t>
      </w:r>
      <w:r w:rsidR="00AE1DA2" w:rsidRPr="005C5FA0">
        <w:rPr>
          <w:rFonts w:ascii="Verdana" w:hAnsi="Verdana" w:cs="Times New Roman"/>
        </w:rPr>
        <w:t xml:space="preserve"> random transactions as part of the entity’s audit, the practitioner may use </w:t>
      </w:r>
      <w:r w:rsidR="00B162BA" w:rsidRPr="005C5FA0">
        <w:rPr>
          <w:rFonts w:ascii="Verdana" w:hAnsi="Verdana" w:cs="Times New Roman"/>
        </w:rPr>
        <w:t xml:space="preserve">the same </w:t>
      </w:r>
      <w:r w:rsidR="00FE02E7" w:rsidRPr="005C5FA0">
        <w:rPr>
          <w:rFonts w:ascii="Verdana" w:hAnsi="Verdana" w:cs="Times New Roman"/>
        </w:rPr>
        <w:t>10</w:t>
      </w:r>
      <w:r w:rsidR="00AE1DA2" w:rsidRPr="005C5FA0">
        <w:rPr>
          <w:rFonts w:ascii="Verdana" w:hAnsi="Verdana" w:cs="Times New Roman"/>
        </w:rPr>
        <w:t xml:space="preserve"> transactions for both the audit and the </w:t>
      </w:r>
      <w:r w:rsidR="00023AF8" w:rsidRPr="005C5FA0">
        <w:rPr>
          <w:rFonts w:ascii="Verdana" w:hAnsi="Verdana" w:cs="Times New Roman"/>
        </w:rPr>
        <w:t>AUP</w:t>
      </w:r>
      <w:r w:rsidR="00AE1DA2" w:rsidRPr="005C5FA0">
        <w:rPr>
          <w:rFonts w:ascii="Verdana" w:hAnsi="Verdana" w:cs="Times New Roman"/>
        </w:rPr>
        <w:t xml:space="preserve"> engagement.</w:t>
      </w:r>
      <w:r w:rsidR="003B616A" w:rsidRPr="005C5FA0">
        <w:rPr>
          <w:rFonts w:ascii="Verdana" w:hAnsi="Verdana" w:cs="Times New Roman"/>
        </w:rPr>
        <w:t xml:space="preserve"> </w:t>
      </w:r>
    </w:p>
    <w:p w14:paraId="413C829C" w14:textId="4ACEE678" w:rsidR="003B616A" w:rsidRPr="005C5FA0" w:rsidRDefault="003B616A" w:rsidP="003B616A">
      <w:pPr>
        <w:jc w:val="both"/>
        <w:rPr>
          <w:rFonts w:ascii="Verdana" w:hAnsi="Verdana" w:cs="Times New Roman"/>
        </w:rPr>
      </w:pPr>
      <w:r w:rsidRPr="005C5FA0">
        <w:rPr>
          <w:rFonts w:ascii="Verdana" w:hAnsi="Verdana" w:cs="Times New Roman"/>
        </w:rPr>
        <w:t xml:space="preserve">To avoid creating an undue burden on practitioners, the AUPs may be performed for a 12-month “fiscal period” that does not coincide with the entity’s fiscal year, as long as the 12-month fiscal period is no more than 3 months prior to the end of the entity’s fiscal year.  For example, the practitioner may perform AUPs for the fiscal period </w:t>
      </w:r>
      <w:r w:rsidR="00254A13" w:rsidRPr="005C5FA0">
        <w:rPr>
          <w:rFonts w:ascii="Verdana" w:hAnsi="Verdana" w:cs="Times New Roman"/>
        </w:rPr>
        <w:br/>
      </w:r>
      <w:r w:rsidRPr="005C5FA0">
        <w:rPr>
          <w:rFonts w:ascii="Verdana" w:hAnsi="Verdana" w:cs="Times New Roman"/>
        </w:rPr>
        <w:t xml:space="preserve">April 1, 2022 through March 31, 2023 for an entity with a fiscal year ending June 30, 2023.  All AUPs will reference “fiscal period” to mean the 12-months covered by the </w:t>
      </w:r>
      <w:r w:rsidRPr="005C5FA0">
        <w:rPr>
          <w:rFonts w:ascii="Verdana" w:hAnsi="Verdana" w:cs="Times New Roman"/>
        </w:rPr>
        <w:lastRenderedPageBreak/>
        <w:t>AUPs.  If the entity elects to change its “fiscal period,” the subsequent year of AUP testing must not leave a gap between fiscal periods.  For example, a change from a March 31 fiscal period end to a June 30 fiscal period end would require a 15-month AUP engagement in the year of change.</w:t>
      </w:r>
    </w:p>
    <w:p w14:paraId="7E6C7616" w14:textId="77777777" w:rsidR="002F44B1" w:rsidRPr="005C5FA0" w:rsidRDefault="002F44B1" w:rsidP="003B616A">
      <w:pPr>
        <w:jc w:val="both"/>
        <w:rPr>
          <w:rFonts w:ascii="Verdana" w:hAnsi="Verdana" w:cs="Times New Roman"/>
        </w:rPr>
      </w:pPr>
    </w:p>
    <w:p w14:paraId="398D32C2" w14:textId="0A655268" w:rsidR="003B616A" w:rsidRPr="005C5FA0" w:rsidRDefault="00AC59F8" w:rsidP="0058696F">
      <w:pPr>
        <w:jc w:val="both"/>
        <w:rPr>
          <w:rFonts w:ascii="Verdana" w:hAnsi="Verdana" w:cs="Times New Roman"/>
          <w:b/>
          <w:i/>
          <w:u w:val="single"/>
        </w:rPr>
      </w:pPr>
      <w:bookmarkStart w:id="20" w:name="USING_INT_AUD_OTHER_PRACTITIONERS"/>
      <w:r w:rsidRPr="005C5FA0">
        <w:rPr>
          <w:rFonts w:ascii="Verdana" w:hAnsi="Verdana" w:cs="Times New Roman"/>
          <w:b/>
          <w:i/>
          <w:u w:val="single"/>
        </w:rPr>
        <w:t xml:space="preserve">Using the Work of </w:t>
      </w:r>
      <w:r w:rsidR="003B616A" w:rsidRPr="005C5FA0">
        <w:rPr>
          <w:rFonts w:ascii="Verdana" w:hAnsi="Verdana" w:cs="Times New Roman"/>
          <w:b/>
          <w:i/>
          <w:u w:val="single"/>
        </w:rPr>
        <w:t>Internal Auditor</w:t>
      </w:r>
      <w:r w:rsidRPr="005C5FA0">
        <w:rPr>
          <w:rFonts w:ascii="Verdana" w:hAnsi="Verdana" w:cs="Times New Roman"/>
          <w:b/>
          <w:i/>
          <w:u w:val="single"/>
        </w:rPr>
        <w:t xml:space="preserve">s or Other Practitioners </w:t>
      </w:r>
    </w:p>
    <w:bookmarkEnd w:id="20"/>
    <w:p w14:paraId="34DEF9BD" w14:textId="5E12E2B3" w:rsidR="00A12C2C" w:rsidRPr="005C5FA0" w:rsidRDefault="00FC4A20" w:rsidP="00AC59F8">
      <w:pPr>
        <w:jc w:val="both"/>
        <w:rPr>
          <w:rFonts w:ascii="Verdana" w:hAnsi="Verdana" w:cs="Times New Roman"/>
        </w:rPr>
      </w:pPr>
      <w:r w:rsidRPr="005C5FA0">
        <w:rPr>
          <w:rFonts w:ascii="Verdana" w:hAnsi="Verdana" w:cs="Times New Roman"/>
        </w:rPr>
        <w:t>In compliance with SSAE 19, t</w:t>
      </w:r>
      <w:r w:rsidR="00A12C2C" w:rsidRPr="005C5FA0">
        <w:rPr>
          <w:rFonts w:ascii="Verdana" w:hAnsi="Verdana" w:cs="Times New Roman"/>
        </w:rPr>
        <w:t xml:space="preserve">he procedures to be enumerated or referred to in the practitioner’s report should be performed by the engagement team or other practitioners and not by internal auditors.  </w:t>
      </w:r>
    </w:p>
    <w:p w14:paraId="03C9A49E" w14:textId="58AE617E" w:rsidR="00AC59F8" w:rsidRPr="005C5FA0" w:rsidRDefault="00AC59F8" w:rsidP="00AC59F8">
      <w:pPr>
        <w:jc w:val="both"/>
        <w:rPr>
          <w:rFonts w:ascii="Verdana" w:hAnsi="Verdana" w:cs="Times New Roman"/>
        </w:rPr>
      </w:pPr>
      <w:r w:rsidRPr="005C5FA0">
        <w:rPr>
          <w:rFonts w:ascii="Verdana" w:hAnsi="Verdana" w:cs="Times New Roman"/>
        </w:rPr>
        <w:t>Internal auditors may prepare schedules and accumulate data or provide other information for the practitioner's use in performing the procedures. Also, internal auditors may perform and report separately on procedures that they have carried out. Such procedures may be similar to those that a practitioner may perform under this section.</w:t>
      </w:r>
    </w:p>
    <w:p w14:paraId="264CF440" w14:textId="4746DE6D" w:rsidR="00AC59F8" w:rsidRPr="005C5FA0" w:rsidRDefault="00AC59F8" w:rsidP="00AC59F8">
      <w:pPr>
        <w:jc w:val="both"/>
        <w:rPr>
          <w:rFonts w:ascii="Verdana" w:hAnsi="Verdana" w:cs="Times New Roman"/>
        </w:rPr>
      </w:pPr>
      <w:r w:rsidRPr="005C5FA0">
        <w:rPr>
          <w:rFonts w:ascii="Verdana" w:hAnsi="Verdana" w:cs="Times New Roman"/>
        </w:rPr>
        <w:t>A practitioner may perform procedures on information documented in the working papers of internal auditors. For example, the practitioner may do the following:</w:t>
      </w:r>
    </w:p>
    <w:p w14:paraId="7142FD7C" w14:textId="4AD5BB25" w:rsidR="00AC59F8" w:rsidRPr="005C5FA0" w:rsidRDefault="00AC59F8" w:rsidP="006A3E9C">
      <w:pPr>
        <w:spacing w:after="220" w:line="240" w:lineRule="auto"/>
        <w:ind w:left="1440" w:hanging="720"/>
        <w:jc w:val="both"/>
        <w:rPr>
          <w:rFonts w:ascii="Verdana" w:hAnsi="Verdana" w:cs="Times New Roman"/>
        </w:rPr>
      </w:pPr>
      <w:r w:rsidRPr="005C5FA0">
        <w:rPr>
          <w:rFonts w:ascii="Verdana" w:hAnsi="Verdana" w:cs="Times New Roman"/>
        </w:rPr>
        <w:t xml:space="preserve">• </w:t>
      </w:r>
      <w:r w:rsidR="006A3E9C" w:rsidRPr="005C5FA0">
        <w:rPr>
          <w:rFonts w:ascii="Verdana" w:hAnsi="Verdana" w:cs="Times New Roman"/>
        </w:rPr>
        <w:tab/>
      </w:r>
      <w:r w:rsidRPr="005C5FA0">
        <w:rPr>
          <w:rFonts w:ascii="Verdana" w:hAnsi="Verdana" w:cs="Times New Roman"/>
        </w:rPr>
        <w:t>Repeat all or some of the procedures</w:t>
      </w:r>
      <w:r w:rsidR="001934AF" w:rsidRPr="005C5FA0">
        <w:rPr>
          <w:rFonts w:ascii="Verdana" w:hAnsi="Verdana" w:cs="Times New Roman"/>
        </w:rPr>
        <w:t>,</w:t>
      </w:r>
      <w:r w:rsidR="00947F79" w:rsidRPr="005C5FA0">
        <w:rPr>
          <w:rFonts w:ascii="Verdana" w:hAnsi="Verdana" w:cs="Times New Roman"/>
        </w:rPr>
        <w:t xml:space="preserve"> or</w:t>
      </w:r>
    </w:p>
    <w:p w14:paraId="4896CB73" w14:textId="047949CB" w:rsidR="00AC59F8" w:rsidRPr="005C5FA0" w:rsidRDefault="00AC59F8" w:rsidP="006A3E9C">
      <w:pPr>
        <w:spacing w:after="220" w:line="240" w:lineRule="auto"/>
        <w:ind w:left="1440" w:hanging="720"/>
        <w:jc w:val="both"/>
        <w:rPr>
          <w:rFonts w:ascii="Verdana" w:hAnsi="Verdana" w:cs="Times New Roman"/>
        </w:rPr>
      </w:pPr>
      <w:r w:rsidRPr="005C5FA0">
        <w:rPr>
          <w:rFonts w:ascii="Verdana" w:hAnsi="Verdana" w:cs="Times New Roman"/>
        </w:rPr>
        <w:t xml:space="preserve">• </w:t>
      </w:r>
      <w:r w:rsidR="006A3E9C" w:rsidRPr="005C5FA0">
        <w:rPr>
          <w:rFonts w:ascii="Verdana" w:hAnsi="Verdana" w:cs="Times New Roman"/>
        </w:rPr>
        <w:tab/>
      </w:r>
      <w:r w:rsidRPr="005C5FA0">
        <w:rPr>
          <w:rFonts w:ascii="Verdana" w:hAnsi="Verdana" w:cs="Times New Roman"/>
        </w:rPr>
        <w:t>Determine whether the internal auditor</w:t>
      </w:r>
      <w:r w:rsidR="00947F79" w:rsidRPr="005C5FA0">
        <w:rPr>
          <w:rFonts w:ascii="Verdana" w:hAnsi="Verdana" w:cs="Times New Roman"/>
        </w:rPr>
        <w:t>’</w:t>
      </w:r>
      <w:r w:rsidRPr="005C5FA0">
        <w:rPr>
          <w:rFonts w:ascii="Verdana" w:hAnsi="Verdana" w:cs="Times New Roman"/>
        </w:rPr>
        <w:t>s documentation indicates procedures performed and whether the findings documented are presented in a report by the internal auditors</w:t>
      </w:r>
      <w:r w:rsidR="001934AF" w:rsidRPr="005C5FA0">
        <w:rPr>
          <w:rFonts w:ascii="Verdana" w:hAnsi="Verdana" w:cs="Times New Roman"/>
        </w:rPr>
        <w:t>.</w:t>
      </w:r>
    </w:p>
    <w:p w14:paraId="160D5BF9" w14:textId="7E9A9672" w:rsidR="00AC59F8" w:rsidRPr="005C5FA0" w:rsidRDefault="00AC59F8">
      <w:pPr>
        <w:spacing w:after="0" w:line="240" w:lineRule="auto"/>
        <w:ind w:left="144" w:hanging="144"/>
        <w:jc w:val="both"/>
        <w:rPr>
          <w:rFonts w:ascii="Verdana" w:hAnsi="Verdana" w:cs="Times New Roman"/>
        </w:rPr>
      </w:pPr>
      <w:r w:rsidRPr="005C5FA0">
        <w:rPr>
          <w:rFonts w:ascii="Verdana" w:hAnsi="Verdana" w:cs="Times New Roman"/>
        </w:rPr>
        <w:t>It is inappropriate for the practitioner to do the following:</w:t>
      </w:r>
    </w:p>
    <w:p w14:paraId="0B8A8E86" w14:textId="77777777" w:rsidR="00FC4A20" w:rsidRPr="005C5FA0" w:rsidRDefault="00FC4A20" w:rsidP="00C5660E">
      <w:pPr>
        <w:spacing w:after="0" w:line="240" w:lineRule="auto"/>
        <w:ind w:left="144" w:hanging="144"/>
        <w:jc w:val="both"/>
        <w:rPr>
          <w:rFonts w:ascii="Verdana" w:hAnsi="Verdana" w:cs="Times New Roman"/>
        </w:rPr>
      </w:pPr>
    </w:p>
    <w:p w14:paraId="198E2E36" w14:textId="089CC3B1" w:rsidR="00AC59F8" w:rsidRPr="005C5FA0" w:rsidRDefault="00AC59F8" w:rsidP="006A3E9C">
      <w:pPr>
        <w:spacing w:after="220" w:line="240" w:lineRule="auto"/>
        <w:ind w:left="1440" w:hanging="720"/>
        <w:jc w:val="both"/>
        <w:rPr>
          <w:rFonts w:ascii="Verdana" w:hAnsi="Verdana" w:cs="Times New Roman"/>
        </w:rPr>
      </w:pPr>
      <w:r w:rsidRPr="005C5FA0">
        <w:rPr>
          <w:rFonts w:ascii="Verdana" w:hAnsi="Verdana" w:cs="Times New Roman"/>
        </w:rPr>
        <w:t xml:space="preserve">• </w:t>
      </w:r>
      <w:r w:rsidR="006A3E9C" w:rsidRPr="005C5FA0">
        <w:rPr>
          <w:rFonts w:ascii="Verdana" w:hAnsi="Verdana" w:cs="Times New Roman"/>
        </w:rPr>
        <w:tab/>
      </w:r>
      <w:r w:rsidRPr="005C5FA0">
        <w:rPr>
          <w:rFonts w:ascii="Verdana" w:hAnsi="Verdana" w:cs="Times New Roman"/>
        </w:rPr>
        <w:t>Merely read the internal auditors' report solely to describe or repeat their findings</w:t>
      </w:r>
      <w:r w:rsidR="00947F79" w:rsidRPr="005C5FA0">
        <w:rPr>
          <w:rFonts w:ascii="Verdana" w:hAnsi="Verdana" w:cs="Times New Roman"/>
        </w:rPr>
        <w:t>;</w:t>
      </w:r>
    </w:p>
    <w:p w14:paraId="61CB6DBA" w14:textId="010C0684" w:rsidR="00AC59F8" w:rsidRPr="005C5FA0" w:rsidRDefault="00AC59F8" w:rsidP="006A3E9C">
      <w:pPr>
        <w:spacing w:after="220" w:line="240" w:lineRule="auto"/>
        <w:ind w:left="1440" w:hanging="720"/>
        <w:jc w:val="both"/>
        <w:rPr>
          <w:rFonts w:ascii="Verdana" w:hAnsi="Verdana" w:cs="Times New Roman"/>
        </w:rPr>
      </w:pPr>
      <w:r w:rsidRPr="005C5FA0">
        <w:rPr>
          <w:rFonts w:ascii="Verdana" w:hAnsi="Verdana" w:cs="Times New Roman"/>
        </w:rPr>
        <w:t xml:space="preserve">• </w:t>
      </w:r>
      <w:r w:rsidR="006A3E9C" w:rsidRPr="005C5FA0">
        <w:rPr>
          <w:rFonts w:ascii="Verdana" w:hAnsi="Verdana" w:cs="Times New Roman"/>
        </w:rPr>
        <w:tab/>
      </w:r>
      <w:r w:rsidRPr="005C5FA0">
        <w:rPr>
          <w:rFonts w:ascii="Verdana" w:hAnsi="Verdana" w:cs="Times New Roman"/>
        </w:rPr>
        <w:t>Take responsibility for all or a portion of any procedures performed by internal auditors by reporting those findings as the practitioner's own</w:t>
      </w:r>
      <w:r w:rsidR="00947F79" w:rsidRPr="005C5FA0">
        <w:rPr>
          <w:rFonts w:ascii="Verdana" w:hAnsi="Verdana" w:cs="Times New Roman"/>
        </w:rPr>
        <w:t>; or</w:t>
      </w:r>
    </w:p>
    <w:p w14:paraId="2DA803CD" w14:textId="4562A5AF" w:rsidR="00AC59F8" w:rsidRPr="005C5FA0" w:rsidRDefault="00AC59F8" w:rsidP="006A3E9C">
      <w:pPr>
        <w:spacing w:after="220" w:line="240" w:lineRule="auto"/>
        <w:ind w:left="1440" w:hanging="720"/>
        <w:jc w:val="both"/>
        <w:rPr>
          <w:rFonts w:ascii="Verdana" w:hAnsi="Verdana" w:cs="Times New Roman"/>
        </w:rPr>
      </w:pPr>
      <w:r w:rsidRPr="005C5FA0">
        <w:rPr>
          <w:rFonts w:ascii="Verdana" w:hAnsi="Verdana" w:cs="Times New Roman"/>
        </w:rPr>
        <w:t xml:space="preserve">• </w:t>
      </w:r>
      <w:r w:rsidR="006A3E9C" w:rsidRPr="005C5FA0">
        <w:rPr>
          <w:rFonts w:ascii="Verdana" w:hAnsi="Verdana" w:cs="Times New Roman"/>
        </w:rPr>
        <w:tab/>
      </w:r>
      <w:r w:rsidRPr="005C5FA0">
        <w:rPr>
          <w:rFonts w:ascii="Verdana" w:hAnsi="Verdana" w:cs="Times New Roman"/>
        </w:rPr>
        <w:t>Report in any manner that implies shared responsibility for the procedures with the internal auditors.</w:t>
      </w:r>
    </w:p>
    <w:p w14:paraId="0C181661" w14:textId="614F8784" w:rsidR="00965E4C" w:rsidRPr="005C5FA0" w:rsidRDefault="007D19F6" w:rsidP="0058696F">
      <w:pPr>
        <w:jc w:val="both"/>
        <w:rPr>
          <w:rFonts w:ascii="Verdana" w:hAnsi="Verdana" w:cs="Times New Roman"/>
        </w:rPr>
      </w:pPr>
      <w:r w:rsidRPr="005C5FA0">
        <w:rPr>
          <w:rFonts w:ascii="Verdana" w:hAnsi="Verdana" w:cs="Times New Roman"/>
        </w:rPr>
        <w:t xml:space="preserve">The practitioner must include a copy </w:t>
      </w:r>
      <w:r w:rsidR="004E6A3D" w:rsidRPr="005C5FA0">
        <w:rPr>
          <w:rFonts w:ascii="Verdana" w:hAnsi="Verdana" w:cs="Times New Roman"/>
        </w:rPr>
        <w:t xml:space="preserve">(or copies if the internal auditor has multiple reports that address AUP procedures) </w:t>
      </w:r>
      <w:r w:rsidRPr="005C5FA0">
        <w:rPr>
          <w:rFonts w:ascii="Verdana" w:hAnsi="Verdana" w:cs="Times New Roman"/>
        </w:rPr>
        <w:t xml:space="preserve">of the internal auditor’s procedures performed and </w:t>
      </w:r>
      <w:r w:rsidR="00F247D2" w:rsidRPr="005C5FA0">
        <w:rPr>
          <w:rFonts w:ascii="Verdana" w:hAnsi="Verdana" w:cs="Times New Roman"/>
        </w:rPr>
        <w:t>finding</w:t>
      </w:r>
      <w:r w:rsidRPr="005C5FA0">
        <w:rPr>
          <w:rFonts w:ascii="Verdana" w:hAnsi="Verdana" w:cs="Times New Roman"/>
        </w:rPr>
        <w:t xml:space="preserve">s </w:t>
      </w:r>
      <w:r w:rsidR="002C7A17" w:rsidRPr="005C5FA0">
        <w:rPr>
          <w:rFonts w:ascii="Verdana" w:hAnsi="Verdana" w:cs="Times New Roman"/>
        </w:rPr>
        <w:t>observed</w:t>
      </w:r>
      <w:r w:rsidRPr="005C5FA0">
        <w:rPr>
          <w:rFonts w:ascii="Verdana" w:hAnsi="Verdana" w:cs="Times New Roman"/>
        </w:rPr>
        <w:t xml:space="preserve"> when submitting the audit report and AUP report to the LLA.</w:t>
      </w:r>
      <w:r w:rsidR="001F332F" w:rsidRPr="005C5FA0">
        <w:rPr>
          <w:rFonts w:ascii="Verdana" w:hAnsi="Verdana" w:cs="Times New Roman"/>
        </w:rPr>
        <w:t xml:space="preserve">  In this situation, all three reports should be submitted to the LLA as one pdf file</w:t>
      </w:r>
      <w:r w:rsidR="00B942FD" w:rsidRPr="005C5FA0">
        <w:rPr>
          <w:rFonts w:ascii="Verdana" w:hAnsi="Verdana" w:cs="Times New Roman"/>
        </w:rPr>
        <w:t>, and all three reports will be issued by the LLA</w:t>
      </w:r>
      <w:r w:rsidR="00794E7D" w:rsidRPr="005C5FA0">
        <w:rPr>
          <w:rFonts w:ascii="Verdana" w:hAnsi="Verdana" w:cs="Times New Roman"/>
        </w:rPr>
        <w:t xml:space="preserve"> as </w:t>
      </w:r>
      <w:r w:rsidR="00947F79" w:rsidRPr="005C5FA0">
        <w:rPr>
          <w:rFonts w:ascii="Verdana" w:hAnsi="Verdana" w:cs="Times New Roman"/>
        </w:rPr>
        <w:t xml:space="preserve">a </w:t>
      </w:r>
      <w:r w:rsidR="00794E7D" w:rsidRPr="005C5FA0">
        <w:rPr>
          <w:rFonts w:ascii="Verdana" w:hAnsi="Verdana" w:cs="Times New Roman"/>
        </w:rPr>
        <w:t>public document</w:t>
      </w:r>
      <w:r w:rsidR="001F332F" w:rsidRPr="005C5FA0">
        <w:rPr>
          <w:rFonts w:ascii="Verdana" w:hAnsi="Verdana" w:cs="Times New Roman"/>
        </w:rPr>
        <w:t>.</w:t>
      </w:r>
      <w:r w:rsidR="00E141DB" w:rsidRPr="005C5FA0">
        <w:rPr>
          <w:rFonts w:ascii="Verdana" w:hAnsi="Verdana" w:cs="Times New Roman"/>
        </w:rPr>
        <w:t xml:space="preserve"> </w:t>
      </w:r>
      <w:r w:rsidR="007D036F" w:rsidRPr="005C5FA0">
        <w:rPr>
          <w:rFonts w:ascii="Verdana" w:hAnsi="Verdana" w:cs="Times New Roman"/>
        </w:rPr>
        <w:t xml:space="preserve">If the practitioner </w:t>
      </w:r>
      <w:r w:rsidR="007D036F" w:rsidRPr="005C5FA0">
        <w:rPr>
          <w:rFonts w:ascii="Verdana" w:hAnsi="Verdana" w:cs="Times New Roman"/>
        </w:rPr>
        <w:lastRenderedPageBreak/>
        <w:t xml:space="preserve">believes the AUPs collectively </w:t>
      </w:r>
      <w:r w:rsidR="00DA3E94" w:rsidRPr="005C5FA0">
        <w:rPr>
          <w:rFonts w:ascii="Verdana" w:hAnsi="Verdana" w:cs="Times New Roman"/>
        </w:rPr>
        <w:t>cannot</w:t>
      </w:r>
      <w:r w:rsidR="007D036F" w:rsidRPr="005C5FA0">
        <w:rPr>
          <w:rFonts w:ascii="Verdana" w:hAnsi="Verdana" w:cs="Times New Roman"/>
        </w:rPr>
        <w:t xml:space="preserve"> be performed based on the nature o</w:t>
      </w:r>
      <w:r w:rsidR="002313E5" w:rsidRPr="005C5FA0">
        <w:rPr>
          <w:rFonts w:ascii="Verdana" w:hAnsi="Verdana" w:cs="Times New Roman"/>
        </w:rPr>
        <w:t>f the entity’s operations</w:t>
      </w:r>
      <w:r w:rsidR="007D036F" w:rsidRPr="005C5FA0">
        <w:rPr>
          <w:rFonts w:ascii="Verdana" w:hAnsi="Verdana" w:cs="Times New Roman"/>
        </w:rPr>
        <w:t xml:space="preserve">, please contact the LLA </w:t>
      </w:r>
      <w:r w:rsidR="00B162BA" w:rsidRPr="005C5FA0">
        <w:rPr>
          <w:rFonts w:ascii="Verdana" w:hAnsi="Verdana" w:cs="Times New Roman"/>
        </w:rPr>
        <w:t xml:space="preserve">to request </w:t>
      </w:r>
      <w:r w:rsidR="007D036F" w:rsidRPr="005C5FA0">
        <w:rPr>
          <w:rFonts w:ascii="Verdana" w:hAnsi="Verdana" w:cs="Times New Roman"/>
        </w:rPr>
        <w:t>an exemption to the AUPs.  I</w:t>
      </w:r>
      <w:r w:rsidR="00965E4C" w:rsidRPr="005C5FA0">
        <w:rPr>
          <w:rFonts w:ascii="Verdana" w:hAnsi="Verdana" w:cs="Times New Roman"/>
        </w:rPr>
        <w:t xml:space="preserve">f a specific procedure </w:t>
      </w:r>
      <w:r w:rsidR="00DA3E94" w:rsidRPr="005C5FA0">
        <w:rPr>
          <w:rFonts w:ascii="Verdana" w:hAnsi="Verdana" w:cs="Times New Roman"/>
        </w:rPr>
        <w:t>cannot</w:t>
      </w:r>
      <w:r w:rsidR="00965E4C" w:rsidRPr="005C5FA0">
        <w:rPr>
          <w:rFonts w:ascii="Verdana" w:hAnsi="Verdana" w:cs="Times New Roman"/>
        </w:rPr>
        <w:t xml:space="preserve"> be performed </w:t>
      </w:r>
      <w:r w:rsidR="007D036F" w:rsidRPr="005C5FA0">
        <w:rPr>
          <w:rFonts w:ascii="Verdana" w:hAnsi="Verdana" w:cs="Times New Roman"/>
        </w:rPr>
        <w:t>based</w:t>
      </w:r>
      <w:r w:rsidR="00965E4C" w:rsidRPr="005C5FA0">
        <w:rPr>
          <w:rFonts w:ascii="Verdana" w:hAnsi="Verdana" w:cs="Times New Roman"/>
        </w:rPr>
        <w:t xml:space="preserve"> o</w:t>
      </w:r>
      <w:r w:rsidR="00BB16F0" w:rsidRPr="005C5FA0">
        <w:rPr>
          <w:rFonts w:ascii="Verdana" w:hAnsi="Verdana" w:cs="Times New Roman"/>
        </w:rPr>
        <w:t>n</w:t>
      </w:r>
      <w:r w:rsidR="00965E4C" w:rsidRPr="005C5FA0">
        <w:rPr>
          <w:rFonts w:ascii="Verdana" w:hAnsi="Verdana" w:cs="Times New Roman"/>
        </w:rPr>
        <w:t xml:space="preserve"> the nature of the entity’s operations, an equivalent procedure may be substituted (e.g., alternate sampling population, alternate met</w:t>
      </w:r>
      <w:r w:rsidR="007D036F" w:rsidRPr="005C5FA0">
        <w:rPr>
          <w:rFonts w:ascii="Verdana" w:hAnsi="Verdana" w:cs="Times New Roman"/>
        </w:rPr>
        <w:t xml:space="preserve">hod of compiling documentation) </w:t>
      </w:r>
      <w:r w:rsidR="00CC33BD" w:rsidRPr="005C5FA0">
        <w:rPr>
          <w:rFonts w:ascii="Verdana" w:hAnsi="Verdana" w:cs="Times New Roman"/>
        </w:rPr>
        <w:t>at the practitioner’s discretion</w:t>
      </w:r>
      <w:r w:rsidR="007D036F" w:rsidRPr="005C5FA0">
        <w:rPr>
          <w:rFonts w:ascii="Verdana" w:hAnsi="Verdana" w:cs="Times New Roman"/>
        </w:rPr>
        <w:t>.</w:t>
      </w:r>
      <w:r w:rsidR="00032942" w:rsidRPr="005C5FA0">
        <w:rPr>
          <w:rFonts w:ascii="Verdana" w:hAnsi="Verdana" w:cs="Times New Roman"/>
        </w:rPr>
        <w:t xml:space="preserve">  </w:t>
      </w:r>
      <w:r w:rsidR="00FC4A20" w:rsidRPr="005C5FA0">
        <w:rPr>
          <w:rFonts w:ascii="Verdana" w:hAnsi="Verdana" w:cs="Times New Roman"/>
        </w:rPr>
        <w:t>T</w:t>
      </w:r>
      <w:r w:rsidR="00032942" w:rsidRPr="005C5FA0">
        <w:rPr>
          <w:rFonts w:ascii="Verdana" w:hAnsi="Verdana" w:cs="Times New Roman"/>
        </w:rPr>
        <w:t xml:space="preserve">he substitute procedure </w:t>
      </w:r>
      <w:r w:rsidR="00FC4A20" w:rsidRPr="005C5FA0">
        <w:rPr>
          <w:rFonts w:ascii="Verdana" w:hAnsi="Verdana" w:cs="Times New Roman"/>
        </w:rPr>
        <w:t xml:space="preserve">is </w:t>
      </w:r>
      <w:r w:rsidR="00E141DB" w:rsidRPr="005C5FA0">
        <w:rPr>
          <w:rFonts w:ascii="Verdana" w:hAnsi="Verdana" w:cs="Times New Roman"/>
        </w:rPr>
        <w:t>required to</w:t>
      </w:r>
      <w:r w:rsidR="00032942" w:rsidRPr="005C5FA0">
        <w:rPr>
          <w:rFonts w:ascii="Verdana" w:hAnsi="Verdana" w:cs="Times New Roman"/>
        </w:rPr>
        <w:t xml:space="preserve"> be included in the AUP report</w:t>
      </w:r>
      <w:r w:rsidR="00B162BA" w:rsidRPr="005C5FA0">
        <w:rPr>
          <w:rFonts w:ascii="Verdana" w:hAnsi="Verdana" w:cs="Times New Roman"/>
        </w:rPr>
        <w:t xml:space="preserve"> in place of the original procedure</w:t>
      </w:r>
      <w:r w:rsidR="007B7A3F" w:rsidRPr="005C5FA0">
        <w:rPr>
          <w:rFonts w:ascii="Verdana" w:hAnsi="Verdana" w:cs="Times New Roman"/>
        </w:rPr>
        <w:t>,</w:t>
      </w:r>
      <w:r w:rsidR="00032942" w:rsidRPr="005C5FA0">
        <w:rPr>
          <w:rFonts w:ascii="Verdana" w:hAnsi="Verdana" w:cs="Times New Roman"/>
        </w:rPr>
        <w:t xml:space="preserve"> and </w:t>
      </w:r>
      <w:r w:rsidR="00B162BA" w:rsidRPr="005C5FA0">
        <w:rPr>
          <w:rFonts w:ascii="Verdana" w:hAnsi="Verdana" w:cs="Times New Roman"/>
        </w:rPr>
        <w:t xml:space="preserve">this change </w:t>
      </w:r>
      <w:r w:rsidR="007B7A3F" w:rsidRPr="005C5FA0">
        <w:rPr>
          <w:rFonts w:ascii="Verdana" w:hAnsi="Verdana" w:cs="Times New Roman"/>
        </w:rPr>
        <w:t xml:space="preserve">in procedures </w:t>
      </w:r>
      <w:r w:rsidR="00032942" w:rsidRPr="005C5FA0">
        <w:rPr>
          <w:rFonts w:ascii="Verdana" w:hAnsi="Verdana" w:cs="Times New Roman"/>
        </w:rPr>
        <w:t xml:space="preserve">may require the practitioner to update his or </w:t>
      </w:r>
      <w:r w:rsidR="007B7A3F" w:rsidRPr="005C5FA0">
        <w:rPr>
          <w:rFonts w:ascii="Verdana" w:hAnsi="Verdana" w:cs="Times New Roman"/>
        </w:rPr>
        <w:t>her client engagement agreement accordingly.</w:t>
      </w:r>
    </w:p>
    <w:p w14:paraId="10DB93A9" w14:textId="177601F1" w:rsidR="003B616A" w:rsidRPr="005C5FA0" w:rsidRDefault="003B616A" w:rsidP="0058696F">
      <w:pPr>
        <w:jc w:val="both"/>
        <w:rPr>
          <w:rFonts w:ascii="Verdana" w:hAnsi="Verdana" w:cs="Times New Roman"/>
          <w:b/>
          <w:i/>
          <w:u w:val="single"/>
        </w:rPr>
      </w:pPr>
      <w:bookmarkStart w:id="21" w:name="SPECIAL_CONSIDERATION_SCHOOL_BOARD"/>
      <w:r w:rsidRPr="005C5FA0">
        <w:rPr>
          <w:rFonts w:ascii="Verdana" w:hAnsi="Verdana" w:cs="Times New Roman"/>
          <w:b/>
          <w:i/>
          <w:u w:val="single"/>
        </w:rPr>
        <w:t>Special Consideration for School Boards</w:t>
      </w:r>
    </w:p>
    <w:bookmarkEnd w:id="21"/>
    <w:p w14:paraId="131F41D6" w14:textId="798EF3DC" w:rsidR="004E6A3D" w:rsidRPr="005C5FA0" w:rsidRDefault="004E6A3D" w:rsidP="0058696F">
      <w:pPr>
        <w:jc w:val="both"/>
        <w:rPr>
          <w:rFonts w:ascii="Verdana" w:hAnsi="Verdana" w:cs="Times New Roman"/>
        </w:rPr>
      </w:pPr>
      <w:r w:rsidRPr="005C5FA0">
        <w:rPr>
          <w:rFonts w:ascii="Verdana" w:hAnsi="Verdana" w:cs="Times New Roman"/>
        </w:rPr>
        <w:t>For school boards only, the practitioner should consider the deposit site and collection location to be the same if there is a central person (secretary or bookkeeper) through which collections are deposited.</w:t>
      </w:r>
      <w:r w:rsidR="00C54B58" w:rsidRPr="005C5FA0">
        <w:rPr>
          <w:rFonts w:ascii="Verdana" w:hAnsi="Verdana" w:cs="Times New Roman"/>
        </w:rPr>
        <w:t xml:space="preserve">  The practitioner is required to test documentation at the secretary/bookkeeper level </w:t>
      </w:r>
      <w:r w:rsidR="007F0E74" w:rsidRPr="005C5FA0">
        <w:rPr>
          <w:rFonts w:ascii="Verdana" w:hAnsi="Verdana" w:cs="Times New Roman"/>
        </w:rPr>
        <w:t xml:space="preserve">only </w:t>
      </w:r>
      <w:r w:rsidR="00C54B58" w:rsidRPr="005C5FA0">
        <w:rPr>
          <w:rFonts w:ascii="Verdana" w:hAnsi="Verdana" w:cs="Times New Roman"/>
        </w:rPr>
        <w:t>and is not required to test for completeness of revenues relative to classroom collections by teachers.</w:t>
      </w:r>
      <w:r w:rsidR="00E574CA" w:rsidRPr="005C5FA0">
        <w:rPr>
          <w:rStyle w:val="FootnoteReference"/>
          <w:rFonts w:ascii="Verdana" w:hAnsi="Verdana" w:cs="Times New Roman"/>
        </w:rPr>
        <w:footnoteReference w:id="4"/>
      </w:r>
    </w:p>
    <w:p w14:paraId="1982E55C" w14:textId="77777777" w:rsidR="00507EB3" w:rsidRPr="005C5FA0" w:rsidRDefault="00507EB3">
      <w:pPr>
        <w:rPr>
          <w:rFonts w:ascii="Verdana" w:hAnsi="Verdana" w:cs="Times New Roman"/>
          <w:sz w:val="24"/>
          <w:szCs w:val="24"/>
        </w:rPr>
        <w:sectPr w:rsidR="00507EB3" w:rsidRPr="005C5FA0" w:rsidSect="00507EB3">
          <w:headerReference w:type="default" r:id="rId14"/>
          <w:footerReference w:type="default" r:id="rId15"/>
          <w:footerReference w:type="first" r:id="rId16"/>
          <w:pgSz w:w="12240" w:h="15840"/>
          <w:pgMar w:top="1973" w:right="1440" w:bottom="1440" w:left="1440" w:header="1080" w:footer="720" w:gutter="0"/>
          <w:pgNumType w:start="1"/>
          <w:cols w:space="720"/>
          <w:titlePg/>
          <w:docGrid w:linePitch="360"/>
        </w:sectPr>
      </w:pPr>
    </w:p>
    <w:p w14:paraId="34D395EC" w14:textId="11E92231" w:rsidR="00507EB3" w:rsidRPr="005C5FA0" w:rsidRDefault="00507EB3" w:rsidP="00507EB3">
      <w:pPr>
        <w:pStyle w:val="SectionHeader"/>
        <w:rPr>
          <w:rFonts w:ascii="Verdana" w:hAnsi="Verdana"/>
        </w:rPr>
      </w:pPr>
      <w:r w:rsidRPr="005C5FA0">
        <w:rPr>
          <w:rFonts w:ascii="Verdana" w:hAnsi="Verdana"/>
        </w:rPr>
        <w:lastRenderedPageBreak/>
        <w:t>PROCEDURES</w:t>
      </w:r>
    </w:p>
    <w:p w14:paraId="342B3EA6" w14:textId="77777777" w:rsidR="00507EB3" w:rsidRPr="005C5FA0" w:rsidRDefault="00507EB3" w:rsidP="00507EB3">
      <w:pPr>
        <w:pBdr>
          <w:bottom w:val="single" w:sz="18" w:space="1" w:color="053A63"/>
        </w:pBdr>
        <w:jc w:val="center"/>
        <w:rPr>
          <w:rFonts w:ascii="Verdana" w:hAnsi="Verdana"/>
        </w:rPr>
      </w:pPr>
    </w:p>
    <w:p w14:paraId="691A71AA" w14:textId="77777777" w:rsidR="00C5660E" w:rsidRPr="005C5FA0" w:rsidRDefault="00C5660E" w:rsidP="00C5660E">
      <w:pPr>
        <w:spacing w:after="120"/>
        <w:jc w:val="both"/>
        <w:rPr>
          <w:rFonts w:ascii="Verdana" w:hAnsi="Verdana" w:cs="Times New Roman"/>
        </w:rPr>
      </w:pPr>
      <w:r w:rsidRPr="005C5FA0">
        <w:rPr>
          <w:rFonts w:ascii="Verdana" w:hAnsi="Verdana" w:cs="Times New Roman"/>
        </w:rPr>
        <w:t xml:space="preserve">Report all findings to the following procedures, either after each procedure or after all procedures, within each of the fourteen AUP categories.  “Random” selections may be made using Microsoft Excel’s random number generator or an alternate method selected by the practitioner that results in an equivalent sample (e.g., those methods allowed under the AICPA Audit Guide - </w:t>
      </w:r>
      <w:r w:rsidRPr="005C5FA0">
        <w:rPr>
          <w:rFonts w:ascii="Verdana" w:hAnsi="Verdana" w:cs="Times New Roman"/>
          <w:i/>
        </w:rPr>
        <w:t>Audit Sampling</w:t>
      </w:r>
      <w:r w:rsidRPr="005C5FA0">
        <w:rPr>
          <w:rFonts w:ascii="Verdana" w:hAnsi="Verdana" w:cs="Times New Roman"/>
        </w:rPr>
        <w:t>).</w:t>
      </w:r>
    </w:p>
    <w:p w14:paraId="36876551" w14:textId="77777777" w:rsidR="00C5660E" w:rsidRPr="005C5FA0" w:rsidRDefault="00C5660E" w:rsidP="00C5660E">
      <w:pPr>
        <w:spacing w:after="120"/>
        <w:jc w:val="both"/>
        <w:rPr>
          <w:rFonts w:ascii="Verdana" w:hAnsi="Verdana" w:cs="Times New Roman"/>
        </w:rPr>
      </w:pPr>
    </w:p>
    <w:p w14:paraId="0346B71C" w14:textId="77777777" w:rsidR="00C5660E" w:rsidRPr="005C5FA0"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22" w:name="WRITTEN_POLICIES_PROCEDURES"/>
      <w:r w:rsidRPr="005C5FA0">
        <w:rPr>
          <w:rFonts w:ascii="Verdana" w:hAnsi="Verdana"/>
          <w:b/>
          <w:i/>
          <w:color w:val="000000"/>
          <w:sz w:val="22"/>
          <w:szCs w:val="22"/>
        </w:rPr>
        <w:t>Written Policies and Procedures</w:t>
      </w:r>
    </w:p>
    <w:bookmarkEnd w:id="22"/>
    <w:p w14:paraId="4AEB691D" w14:textId="77777777" w:rsidR="00C5660E" w:rsidRPr="005C5FA0" w:rsidRDefault="00C5660E" w:rsidP="00C5660E">
      <w:pPr>
        <w:spacing w:after="0" w:line="240" w:lineRule="auto"/>
        <w:rPr>
          <w:rFonts w:ascii="Verdana" w:eastAsia="Times New Roman" w:hAnsi="Verdana" w:cs="Times New Roman"/>
          <w:color w:val="000000"/>
        </w:rPr>
      </w:pPr>
    </w:p>
    <w:p w14:paraId="442C635D" w14:textId="77777777" w:rsidR="00C5660E" w:rsidRPr="005C5FA0" w:rsidRDefault="00C5660E" w:rsidP="00885A96">
      <w:pPr>
        <w:numPr>
          <w:ilvl w:val="0"/>
          <w:numId w:val="4"/>
        </w:numPr>
        <w:spacing w:line="240" w:lineRule="auto"/>
        <w:ind w:hanging="720"/>
        <w:jc w:val="both"/>
        <w:rPr>
          <w:rFonts w:ascii="Verdana" w:eastAsia="Times New Roman" w:hAnsi="Verdana" w:cs="Times New Roman"/>
        </w:rPr>
      </w:pPr>
      <w:r w:rsidRPr="005C5FA0">
        <w:rPr>
          <w:rFonts w:ascii="Verdana" w:eastAsia="Times New Roman" w:hAnsi="Verdana" w:cs="Times New Roman"/>
        </w:rPr>
        <w:t>Obtain and inspect the entity’s written policies and procedures and observe whether they address each of the following categories and subcategories if applicable to public funds and the entity’s operations:</w:t>
      </w:r>
      <w:r w:rsidRPr="005C5FA0">
        <w:rPr>
          <w:rStyle w:val="FootnoteReference"/>
          <w:rFonts w:ascii="Verdana" w:eastAsia="Times New Roman" w:hAnsi="Verdana" w:cs="Times New Roman"/>
        </w:rPr>
        <w:footnoteReference w:id="5"/>
      </w:r>
    </w:p>
    <w:p w14:paraId="75ECD1DB"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Budgeting</w:t>
      </w:r>
      <w:r w:rsidRPr="005C5FA0">
        <w:rPr>
          <w:rFonts w:ascii="Verdana" w:eastAsia="Calibri" w:hAnsi="Verdana" w:cs="Times New Roman"/>
        </w:rPr>
        <w:t>, including preparing, adopting, monitoring, and amending the budget.</w:t>
      </w:r>
    </w:p>
    <w:p w14:paraId="193BAE0E"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Purchasing</w:t>
      </w:r>
      <w:r w:rsidRPr="005C5FA0">
        <w:rPr>
          <w:rFonts w:ascii="Verdana" w:eastAsia="Calibri" w:hAnsi="Verdana" w:cs="Times New Roman"/>
        </w:rPr>
        <w:t xml:space="preserve">, including (1) how purchases are initiated, (2) how vendors are added to the vendor list, (3) the preparation and approval process of purchase requisitions and purchase orders, (4) controls to ensure compliance with the Public Bid Law, and (5) documentation required to be maintained for all bids and price quotes. </w:t>
      </w:r>
    </w:p>
    <w:p w14:paraId="21910D5B"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Disbursements</w:t>
      </w:r>
      <w:r w:rsidRPr="005C5FA0">
        <w:rPr>
          <w:rFonts w:ascii="Verdana" w:eastAsia="Calibri" w:hAnsi="Verdana" w:cs="Times New Roman"/>
        </w:rPr>
        <w:t>, including processing, reviewing, and approving.</w:t>
      </w:r>
    </w:p>
    <w:p w14:paraId="54BA0D5C"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Receipts/Collections</w:t>
      </w:r>
      <w:r w:rsidRPr="005C5FA0">
        <w:rPr>
          <w:rFonts w:ascii="Verdana" w:eastAsia="Calibri" w:hAnsi="Verdana" w:cs="Times New Roman"/>
        </w:rPr>
        <w:t>, including receiving, recording, and preparing deposits.  Also, policies and procedures should include management’s actions to determine the completeness of all collections for each type of revenue or agency fund additions (e.g., periodic confirmation with outside parties, reconciliation to utility billing after cutoff procedures, reconciliation of traffic ticket number sequences, agency fund forfeiture monies confirmation).</w:t>
      </w:r>
    </w:p>
    <w:p w14:paraId="009F7032" w14:textId="77777777" w:rsidR="00C5660E" w:rsidRPr="005C5FA0" w:rsidRDefault="00C5660E" w:rsidP="00885A96">
      <w:pPr>
        <w:numPr>
          <w:ilvl w:val="0"/>
          <w:numId w:val="7"/>
        </w:numPr>
        <w:tabs>
          <w:tab w:val="clear" w:pos="720"/>
          <w:tab w:val="num" w:pos="36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Payroll/Personnel</w:t>
      </w:r>
      <w:r w:rsidRPr="005C5FA0">
        <w:rPr>
          <w:rFonts w:ascii="Verdana" w:eastAsia="Calibri" w:hAnsi="Verdana" w:cs="Times New Roman"/>
        </w:rPr>
        <w:t>, including (1) payroll processing, (2) reviewing and approving time and attendance records, including leave and overtime worked, and (3) approval process for employee rates of pay or approval and maintenance of pay rate schedules.</w:t>
      </w:r>
    </w:p>
    <w:p w14:paraId="7F9FE59C"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Contracting</w:t>
      </w:r>
      <w:r w:rsidRPr="005C5FA0">
        <w:rPr>
          <w:rFonts w:ascii="Verdana" w:eastAsia="Calibri" w:hAnsi="Verdana" w:cs="Times New Roman"/>
        </w:rPr>
        <w:t>, including (1) types of services requiring written contracts, (2) standard terms and conditions, (3) legal review, (4) approval process, and (5) monitoring process.</w:t>
      </w:r>
    </w:p>
    <w:p w14:paraId="34387B66"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lastRenderedPageBreak/>
        <w:t>Travel and Expense Reimbursement</w:t>
      </w:r>
      <w:r w:rsidRPr="005C5FA0">
        <w:rPr>
          <w:rFonts w:ascii="Verdana" w:eastAsia="Calibri" w:hAnsi="Verdana" w:cs="Times New Roman"/>
        </w:rPr>
        <w:t>, including (1) allowable expenses, (2) dollar thresholds by category of expense, (3) documentation requirements, and (4) required approvers.</w:t>
      </w:r>
    </w:p>
    <w:p w14:paraId="75E2C275"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Credit Cards (and debit cards, fuel cards, purchase cards, if applicable)</w:t>
      </w:r>
      <w:r w:rsidRPr="005C5FA0">
        <w:rPr>
          <w:rFonts w:ascii="Verdana" w:eastAsia="Calibri" w:hAnsi="Verdana" w:cs="Times New Roman"/>
        </w:rPr>
        <w:t>, including (1) how cards are to be controlled, (2) allowable business uses, (3) documentation requirements, (4) required approvers of statements, and (5) monitoring card usage (e.g., determining the reasonableness of fuel card purchases).</w:t>
      </w:r>
    </w:p>
    <w:p w14:paraId="174AEA82"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Ethics</w:t>
      </w:r>
      <w:r w:rsidRPr="005C5FA0">
        <w:rPr>
          <w:rStyle w:val="FootnoteReference"/>
          <w:rFonts w:ascii="Verdana" w:eastAsia="Calibri" w:hAnsi="Verdana" w:cs="Times New Roman"/>
          <w:b/>
          <w:i/>
        </w:rPr>
        <w:footnoteReference w:id="6"/>
      </w:r>
      <w:r w:rsidRPr="005C5FA0">
        <w:rPr>
          <w:rFonts w:ascii="Verdana" w:eastAsia="Calibri" w:hAnsi="Verdana" w:cs="Times New Roman"/>
        </w:rPr>
        <w:t>, including (1) the prohibitions as defined in Louisiana Revised Statute (R.S.) 42:1111-1121, (2) actions to be taken if an ethics violation takes place, (3) system to monitor possible ethics violations, and (4) a requirement that documentation is maintained to demonstrate that all employees and officials were notified of any changes to the entity’s ethics policy.</w:t>
      </w:r>
    </w:p>
    <w:p w14:paraId="30133533"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Debt Service</w:t>
      </w:r>
      <w:r w:rsidRPr="005C5FA0">
        <w:rPr>
          <w:rFonts w:ascii="Verdana" w:eastAsia="Calibri" w:hAnsi="Verdana" w:cs="Times New Roman"/>
        </w:rPr>
        <w:t>, including (1) debt issuance approval, (2) continuing disclosure/EMMA reporting requirements, (3) debt reserve requirements, and (4) debt service requirements.</w:t>
      </w:r>
    </w:p>
    <w:p w14:paraId="6BECB34D"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Information Technology Disaster Recovery/Business Continuity</w:t>
      </w:r>
      <w:r w:rsidRPr="005C5FA0">
        <w:rPr>
          <w:rFonts w:ascii="Verdana" w:eastAsia="Calibri" w:hAnsi="Verdana" w:cs="Times New Roman"/>
        </w:rPr>
        <w:t>, including (1) identification of critical data and frequency of data backups, (2) storage of backups in a separate physical location isolated from the network, (3) periodic testing/verification that backups can be restored, (4) use of antivirus software on all systems, (5) timely application of all available system and software patches/updates, and (6) identification of personnel, processes, and tools needed to recover operations after a critical event.</w:t>
      </w:r>
    </w:p>
    <w:p w14:paraId="72A77FA4" w14:textId="77777777" w:rsidR="00C5660E" w:rsidRPr="005C5FA0" w:rsidRDefault="00C5660E" w:rsidP="00885A96">
      <w:pPr>
        <w:numPr>
          <w:ilvl w:val="0"/>
          <w:numId w:val="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b/>
          <w:i/>
        </w:rPr>
        <w:t>Prevention of Sexual Harassment</w:t>
      </w:r>
      <w:r w:rsidRPr="005C5FA0">
        <w:rPr>
          <w:rFonts w:ascii="Verdana" w:eastAsia="Calibri" w:hAnsi="Verdana" w:cs="Times New Roman"/>
        </w:rPr>
        <w:t>, including R.S. 42:342-344 requirements for (1) agency responsibilities and prohibitions, (2) annual employee training, and (3) annual reporting.</w:t>
      </w:r>
    </w:p>
    <w:p w14:paraId="1ED89B5C" w14:textId="77777777" w:rsidR="00C5660E" w:rsidRPr="005C5FA0" w:rsidRDefault="00C5660E" w:rsidP="00C5660E">
      <w:pPr>
        <w:spacing w:after="0" w:line="240" w:lineRule="auto"/>
        <w:jc w:val="both"/>
        <w:rPr>
          <w:rFonts w:ascii="Verdana" w:eastAsia="Times New Roman" w:hAnsi="Verdana" w:cs="Times New Roman"/>
          <w:b/>
          <w:i/>
        </w:rPr>
      </w:pPr>
    </w:p>
    <w:p w14:paraId="76CCD7BC" w14:textId="77777777" w:rsidR="00C5660E" w:rsidRPr="005C5FA0" w:rsidRDefault="00C5660E" w:rsidP="00C5660E">
      <w:pPr>
        <w:pStyle w:val="ListParagraph"/>
        <w:numPr>
          <w:ilvl w:val="0"/>
          <w:numId w:val="50"/>
        </w:numPr>
        <w:pBdr>
          <w:bottom w:val="single" w:sz="4" w:space="1" w:color="auto"/>
        </w:pBdr>
        <w:rPr>
          <w:rFonts w:ascii="Verdana" w:eastAsia="Calibri" w:hAnsi="Verdana"/>
          <w:b/>
          <w:i/>
          <w:sz w:val="22"/>
          <w:szCs w:val="22"/>
        </w:rPr>
      </w:pPr>
      <w:bookmarkStart w:id="23" w:name="BOARD_FINANCE_COMMITTEE"/>
      <w:r w:rsidRPr="005C5FA0">
        <w:rPr>
          <w:rFonts w:ascii="Verdana" w:eastAsia="Calibri" w:hAnsi="Verdana"/>
          <w:b/>
          <w:i/>
          <w:sz w:val="22"/>
          <w:szCs w:val="22"/>
        </w:rPr>
        <w:t>Board or Finance Committee</w:t>
      </w:r>
      <w:bookmarkEnd w:id="23"/>
      <w:r w:rsidRPr="005C5FA0">
        <w:rPr>
          <w:rStyle w:val="FootnoteReference"/>
          <w:rFonts w:ascii="Verdana" w:eastAsia="Calibri" w:hAnsi="Verdana"/>
          <w:b/>
          <w:i/>
          <w:sz w:val="22"/>
          <w:szCs w:val="22"/>
        </w:rPr>
        <w:footnoteReference w:id="7"/>
      </w:r>
    </w:p>
    <w:p w14:paraId="2B7D33CB" w14:textId="77777777" w:rsidR="00C5660E" w:rsidRPr="005C5FA0" w:rsidRDefault="00C5660E" w:rsidP="00C5660E">
      <w:pPr>
        <w:spacing w:after="0"/>
        <w:jc w:val="both"/>
        <w:rPr>
          <w:rFonts w:ascii="Verdana" w:eastAsia="Calibri" w:hAnsi="Verdana" w:cs="Times New Roman"/>
        </w:rPr>
      </w:pPr>
    </w:p>
    <w:p w14:paraId="7D38CD2E" w14:textId="77777777" w:rsidR="00C5660E" w:rsidRPr="005C5FA0" w:rsidRDefault="00C5660E" w:rsidP="00885A96">
      <w:pPr>
        <w:numPr>
          <w:ilvl w:val="0"/>
          <w:numId w:val="8"/>
        </w:numPr>
        <w:tabs>
          <w:tab w:val="clear" w:pos="360"/>
          <w:tab w:val="num" w:pos="720"/>
        </w:tabs>
        <w:spacing w:line="240" w:lineRule="auto"/>
        <w:ind w:left="720" w:hanging="720"/>
        <w:jc w:val="both"/>
        <w:rPr>
          <w:rFonts w:ascii="Verdana" w:eastAsia="Calibri" w:hAnsi="Verdana" w:cs="Times New Roman"/>
        </w:rPr>
      </w:pPr>
      <w:r w:rsidRPr="005C5FA0">
        <w:rPr>
          <w:rFonts w:ascii="Verdana" w:eastAsia="Calibri" w:hAnsi="Verdana" w:cs="Times New Roman"/>
        </w:rPr>
        <w:t>Obtain and inspect the board/finance committee minutes for the fiscal period, as well as the board’s enabling legislation, charter, bylaws, or equivalent document in effect during the fiscal period, and</w:t>
      </w:r>
    </w:p>
    <w:p w14:paraId="07246722" w14:textId="77777777" w:rsidR="00C5660E" w:rsidRPr="005C5FA0" w:rsidRDefault="00C5660E" w:rsidP="009D10A2">
      <w:pPr>
        <w:numPr>
          <w:ilvl w:val="0"/>
          <w:numId w:val="60"/>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lastRenderedPageBreak/>
        <w:t>Observe that the board/finance committee met with a quorum at least monthly, or on a frequency in accordance with the board’s enabling legislation, charter, bylaws, or other equivalent document.</w:t>
      </w:r>
    </w:p>
    <w:p w14:paraId="1A953BED" w14:textId="614F5512" w:rsidR="00C5660E" w:rsidRPr="005C5FA0" w:rsidRDefault="00C5660E" w:rsidP="009D10A2">
      <w:pPr>
        <w:numPr>
          <w:ilvl w:val="0"/>
          <w:numId w:val="60"/>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For those entities reporting on the governmental accounting model, observe whether the minutes referenced or included monthly budget-to-actual comparisons on the general fund, quarterly budget-to-actual, at a minimum, on proprietary funds</w:t>
      </w:r>
      <w:r w:rsidRPr="005C5FA0">
        <w:rPr>
          <w:rStyle w:val="FootnoteReference"/>
          <w:rFonts w:ascii="Verdana" w:eastAsia="Calibri" w:hAnsi="Verdana" w:cs="Times New Roman"/>
        </w:rPr>
        <w:footnoteReference w:id="8"/>
      </w:r>
      <w:r w:rsidRPr="005C5FA0">
        <w:rPr>
          <w:rFonts w:ascii="Verdana" w:eastAsia="Calibri" w:hAnsi="Verdana" w:cs="Times New Roman"/>
        </w:rPr>
        <w:t>, and semi-annual budget- to-actual, at a minimum, on all special revenue funds.</w:t>
      </w:r>
      <w:r w:rsidRPr="005C5FA0">
        <w:rPr>
          <w:rStyle w:val="FootnoteReference"/>
          <w:rFonts w:ascii="Verdana" w:eastAsia="Calibri" w:hAnsi="Verdana" w:cs="Times New Roman"/>
        </w:rPr>
        <w:t xml:space="preserve"> </w:t>
      </w:r>
      <w:r w:rsidRPr="005C5FA0">
        <w:rPr>
          <w:rFonts w:ascii="Verdana" w:eastAsia="Calibri" w:hAnsi="Verdana" w:cs="Times New Roman"/>
          <w:i/>
        </w:rPr>
        <w:t xml:space="preserve">Alternatively, for those entities reporting on the </w:t>
      </w:r>
      <w:r w:rsidR="00B65BBB" w:rsidRPr="005C5FA0">
        <w:rPr>
          <w:rFonts w:ascii="Verdana" w:eastAsia="Calibri" w:hAnsi="Verdana" w:cs="Times New Roman"/>
          <w:i/>
        </w:rPr>
        <w:t>not-for-profit</w:t>
      </w:r>
      <w:r w:rsidRPr="005C5FA0">
        <w:rPr>
          <w:rFonts w:ascii="Verdana" w:eastAsia="Calibri" w:hAnsi="Verdana" w:cs="Times New Roman"/>
          <w:i/>
        </w:rPr>
        <w:t xml:space="preserve"> accounting model, observe that the minutes referenced or included financial activity relating to public funds</w:t>
      </w:r>
      <w:r w:rsidRPr="005C5FA0">
        <w:rPr>
          <w:rStyle w:val="FootnoteReference"/>
          <w:rFonts w:ascii="Verdana" w:eastAsia="Calibri" w:hAnsi="Verdana" w:cs="Times New Roman"/>
          <w:i/>
        </w:rPr>
        <w:footnoteReference w:id="9"/>
      </w:r>
      <w:r w:rsidRPr="005C5FA0">
        <w:rPr>
          <w:rFonts w:ascii="Verdana" w:eastAsia="Calibri" w:hAnsi="Verdana" w:cs="Times New Roman"/>
          <w:i/>
        </w:rPr>
        <w:t xml:space="preserve"> if those public funds comprised more than 10% of the entity’s collections during the fiscal period.</w:t>
      </w:r>
    </w:p>
    <w:p w14:paraId="6A28ABE4" w14:textId="77777777" w:rsidR="00C5660E" w:rsidRPr="005C5FA0" w:rsidRDefault="00C5660E" w:rsidP="009D10A2">
      <w:pPr>
        <w:numPr>
          <w:ilvl w:val="0"/>
          <w:numId w:val="60"/>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For governmental entities, obtain the prior year audit report and observe the unassigned fund balance in the general fund.  If the general fund had a negative ending unassigned fund balance in the prior year audit report, observe that the minutes for at least one meeting during the fiscal period referenced or included a formal plan to eliminate the negative unassigned fund balance in the general fund.</w:t>
      </w:r>
    </w:p>
    <w:p w14:paraId="35573DE5" w14:textId="4C441FE4" w:rsidR="00C5660E" w:rsidRPr="00BE5186" w:rsidRDefault="00C5660E" w:rsidP="009D10A2">
      <w:pPr>
        <w:pStyle w:val="ListParagraph"/>
        <w:numPr>
          <w:ilvl w:val="0"/>
          <w:numId w:val="60"/>
        </w:numPr>
        <w:tabs>
          <w:tab w:val="clear" w:pos="720"/>
          <w:tab w:val="num" w:pos="1440"/>
        </w:tabs>
        <w:ind w:left="1440" w:hanging="720"/>
        <w:rPr>
          <w:rFonts w:ascii="Verdana" w:hAnsi="Verdana"/>
          <w:sz w:val="22"/>
          <w:szCs w:val="22"/>
        </w:rPr>
      </w:pPr>
      <w:r w:rsidRPr="00BE5186">
        <w:rPr>
          <w:rFonts w:ascii="Verdana" w:eastAsia="Calibri" w:hAnsi="Verdana"/>
          <w:sz w:val="22"/>
          <w:szCs w:val="22"/>
        </w:rPr>
        <w:t>Observe whether the board/finance committee received written updates of the progress of resolving audit finding(s)</w:t>
      </w:r>
      <w:r w:rsidR="007B2B9C" w:rsidRPr="00BE5186">
        <w:rPr>
          <w:rFonts w:ascii="Verdana" w:eastAsia="Calibri" w:hAnsi="Verdana"/>
          <w:sz w:val="22"/>
          <w:szCs w:val="22"/>
        </w:rPr>
        <w:t>,</w:t>
      </w:r>
      <w:r w:rsidRPr="00BE5186">
        <w:rPr>
          <w:rFonts w:ascii="Verdana" w:eastAsia="Calibri" w:hAnsi="Verdana"/>
          <w:sz w:val="22"/>
          <w:szCs w:val="22"/>
        </w:rPr>
        <w:t xml:space="preserve"> </w:t>
      </w:r>
      <w:r w:rsidR="006344D0" w:rsidRPr="00BE5186">
        <w:rPr>
          <w:rFonts w:ascii="Verdana" w:eastAsia="Calibri" w:hAnsi="Verdana"/>
          <w:sz w:val="22"/>
          <w:szCs w:val="22"/>
        </w:rPr>
        <w:t xml:space="preserve">according to </w:t>
      </w:r>
      <w:r w:rsidRPr="00BE5186">
        <w:rPr>
          <w:rFonts w:ascii="Verdana" w:eastAsia="Calibri" w:hAnsi="Verdana"/>
          <w:sz w:val="22"/>
          <w:szCs w:val="22"/>
        </w:rPr>
        <w:t>management’s corrective action plan at each meeting until the findings are considered fully resolved.</w:t>
      </w:r>
      <w:r w:rsidR="001C75F0" w:rsidRPr="00BE5186">
        <w:rPr>
          <w:rStyle w:val="FootnoteReference"/>
          <w:rFonts w:ascii="Verdana" w:eastAsia="Calibri" w:hAnsi="Verdana"/>
          <w:sz w:val="22"/>
          <w:szCs w:val="22"/>
        </w:rPr>
        <w:footnoteReference w:id="10"/>
      </w:r>
    </w:p>
    <w:p w14:paraId="6EEE3B87" w14:textId="77777777" w:rsidR="00C5660E" w:rsidRPr="005C5FA0" w:rsidRDefault="00C5660E" w:rsidP="00C5660E">
      <w:pPr>
        <w:spacing w:after="0" w:line="240" w:lineRule="auto"/>
        <w:jc w:val="both"/>
        <w:rPr>
          <w:rFonts w:ascii="Verdana" w:eastAsia="Times New Roman" w:hAnsi="Verdana" w:cs="Times New Roman"/>
          <w:b/>
          <w:i/>
        </w:rPr>
      </w:pPr>
    </w:p>
    <w:p w14:paraId="446E92DE" w14:textId="77777777" w:rsidR="00C5660E" w:rsidRPr="005C5FA0"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24" w:name="BANK_RECONCILIATIONS"/>
      <w:r w:rsidRPr="005C5FA0">
        <w:rPr>
          <w:rFonts w:ascii="Verdana" w:hAnsi="Verdana"/>
          <w:b/>
          <w:i/>
          <w:color w:val="000000"/>
          <w:sz w:val="22"/>
          <w:szCs w:val="22"/>
        </w:rPr>
        <w:t>Bank Reconciliations</w:t>
      </w:r>
    </w:p>
    <w:bookmarkEnd w:id="24"/>
    <w:p w14:paraId="61052CFB" w14:textId="77777777" w:rsidR="00C5660E" w:rsidRPr="005C5FA0" w:rsidRDefault="00C5660E" w:rsidP="00C5660E">
      <w:pPr>
        <w:spacing w:after="0" w:line="240" w:lineRule="auto"/>
        <w:rPr>
          <w:rFonts w:ascii="Verdana" w:eastAsia="Times New Roman" w:hAnsi="Verdana" w:cs="Times New Roman"/>
          <w:b/>
          <w:i/>
        </w:rPr>
      </w:pPr>
    </w:p>
    <w:p w14:paraId="1E9B8D53" w14:textId="77C1CF60" w:rsidR="00C5660E" w:rsidRPr="005C5FA0" w:rsidRDefault="00C5660E" w:rsidP="009D10A2">
      <w:pPr>
        <w:numPr>
          <w:ilvl w:val="0"/>
          <w:numId w:val="11"/>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a listing of entity bank accounts for the fiscal period from management and management’s representation that the listing is complete.  Ask management to identify the entity’s main operating account.  Select the entity’s main operating account and randomly select 4 additional accounts</w:t>
      </w:r>
      <w:r w:rsidRPr="005C5FA0">
        <w:rPr>
          <w:rStyle w:val="FootnoteReference"/>
          <w:rFonts w:ascii="Verdana" w:eastAsia="Calibri" w:hAnsi="Verdana" w:cs="Times New Roman"/>
        </w:rPr>
        <w:footnoteReference w:id="11"/>
      </w:r>
      <w:r w:rsidRPr="005C5FA0">
        <w:rPr>
          <w:rFonts w:ascii="Verdana" w:eastAsia="Calibri" w:hAnsi="Verdana" w:cs="Times New Roman"/>
        </w:rPr>
        <w:t xml:space="preserve"> (or all accounts if less than 5).  Randomly select one month from the fiscal period, obtain and inspect the corresponding bank statement and reconciliation for each selected account, and observe that</w:t>
      </w:r>
      <w:r w:rsidR="00A85B72">
        <w:rPr>
          <w:rFonts w:ascii="Verdana" w:eastAsia="Calibri" w:hAnsi="Verdana" w:cs="Times New Roman"/>
        </w:rPr>
        <w:t>:</w:t>
      </w:r>
    </w:p>
    <w:p w14:paraId="50897175" w14:textId="77777777" w:rsidR="00C5660E" w:rsidRPr="005C5FA0" w:rsidRDefault="00C5660E" w:rsidP="009D10A2">
      <w:pPr>
        <w:numPr>
          <w:ilvl w:val="0"/>
          <w:numId w:val="61"/>
        </w:numPr>
        <w:tabs>
          <w:tab w:val="clear" w:pos="720"/>
          <w:tab w:val="num" w:pos="1440"/>
        </w:tabs>
        <w:spacing w:after="120" w:line="240" w:lineRule="auto"/>
        <w:ind w:left="1440" w:hanging="720"/>
        <w:jc w:val="both"/>
        <w:rPr>
          <w:rFonts w:ascii="Verdana" w:eastAsia="Calibri" w:hAnsi="Verdana"/>
        </w:rPr>
      </w:pPr>
      <w:r w:rsidRPr="005C5FA0">
        <w:rPr>
          <w:rFonts w:ascii="Verdana" w:eastAsia="Calibri" w:hAnsi="Verdana" w:cs="Times New Roman"/>
        </w:rPr>
        <w:lastRenderedPageBreak/>
        <w:t>Bank reconciliations include evidence that they were prepared within 2 months of the related statement closing date (e.g., initialed and dated or electronically logged);</w:t>
      </w:r>
    </w:p>
    <w:p w14:paraId="43D27A35" w14:textId="77777777" w:rsidR="00C5660E" w:rsidRPr="005C5FA0" w:rsidRDefault="00C5660E" w:rsidP="009D10A2">
      <w:pPr>
        <w:pStyle w:val="ListParagraph"/>
        <w:numPr>
          <w:ilvl w:val="0"/>
          <w:numId w:val="61"/>
        </w:numPr>
        <w:tabs>
          <w:tab w:val="clear" w:pos="720"/>
          <w:tab w:val="num" w:pos="1440"/>
        </w:tabs>
        <w:spacing w:after="120"/>
        <w:ind w:left="1440" w:hanging="720"/>
        <w:contextualSpacing w:val="0"/>
        <w:jc w:val="both"/>
        <w:rPr>
          <w:rFonts w:ascii="Verdana" w:eastAsia="Calibri" w:hAnsi="Verdana"/>
          <w:sz w:val="22"/>
          <w:szCs w:val="22"/>
        </w:rPr>
      </w:pPr>
      <w:r w:rsidRPr="005C5FA0">
        <w:rPr>
          <w:rFonts w:ascii="Verdana" w:eastAsia="Calibri" w:hAnsi="Verdana"/>
          <w:sz w:val="22"/>
          <w:szCs w:val="22"/>
        </w:rPr>
        <w:t>Bank reconciliations include written evidence that a member of management or a board member who does not handle cash, post ledgers, or issue checks has reviewed each bank reconciliation (e.g., initialed and dated, electronically logged); and</w:t>
      </w:r>
    </w:p>
    <w:p w14:paraId="7CA721E3" w14:textId="77777777" w:rsidR="00C5660E" w:rsidRPr="005C5FA0" w:rsidRDefault="00C5660E" w:rsidP="009D10A2">
      <w:pPr>
        <w:pStyle w:val="ListParagraph"/>
        <w:numPr>
          <w:ilvl w:val="0"/>
          <w:numId w:val="61"/>
        </w:numPr>
        <w:tabs>
          <w:tab w:val="clear" w:pos="720"/>
          <w:tab w:val="num" w:pos="1440"/>
        </w:tabs>
        <w:spacing w:after="120"/>
        <w:ind w:left="1440" w:hanging="720"/>
        <w:contextualSpacing w:val="0"/>
        <w:jc w:val="both"/>
        <w:rPr>
          <w:rFonts w:ascii="Verdana" w:eastAsia="Calibri" w:hAnsi="Verdana"/>
          <w:sz w:val="22"/>
          <w:szCs w:val="22"/>
        </w:rPr>
      </w:pPr>
      <w:r w:rsidRPr="005C5FA0">
        <w:rPr>
          <w:rFonts w:ascii="Verdana" w:eastAsia="Calibri" w:hAnsi="Verdana"/>
          <w:sz w:val="22"/>
          <w:szCs w:val="22"/>
        </w:rPr>
        <w:t>Management has documentation reflecting it has researched reconciling items that have been outstanding for more than 12 months from the statement closing date, if applicable.</w:t>
      </w:r>
    </w:p>
    <w:p w14:paraId="32CBEB1D" w14:textId="77777777" w:rsidR="00C5660E" w:rsidRPr="005C5FA0" w:rsidRDefault="00C5660E" w:rsidP="00C5660E">
      <w:pPr>
        <w:pStyle w:val="ListParagraph"/>
        <w:ind w:left="360"/>
        <w:jc w:val="both"/>
        <w:rPr>
          <w:rFonts w:ascii="Verdana" w:eastAsia="Calibri" w:hAnsi="Verdana"/>
          <w:sz w:val="22"/>
          <w:szCs w:val="22"/>
        </w:rPr>
      </w:pPr>
    </w:p>
    <w:p w14:paraId="540795DE" w14:textId="77777777" w:rsidR="00C5660E" w:rsidRPr="005C5FA0"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25" w:name="COLLECTIONS"/>
      <w:r w:rsidRPr="005C5FA0">
        <w:rPr>
          <w:rFonts w:ascii="Verdana" w:hAnsi="Verdana"/>
          <w:b/>
          <w:i/>
          <w:color w:val="000000"/>
          <w:sz w:val="22"/>
          <w:szCs w:val="22"/>
        </w:rPr>
        <w:t xml:space="preserve">Collections </w:t>
      </w:r>
      <w:bookmarkEnd w:id="25"/>
      <w:r w:rsidRPr="005C5FA0">
        <w:rPr>
          <w:rFonts w:ascii="Verdana" w:hAnsi="Verdana"/>
          <w:b/>
          <w:i/>
          <w:color w:val="000000"/>
          <w:sz w:val="22"/>
          <w:szCs w:val="22"/>
        </w:rPr>
        <w:t>(excluding electronic funds transfers)</w:t>
      </w:r>
      <w:r w:rsidRPr="005C5FA0">
        <w:rPr>
          <w:rStyle w:val="FootnoteReference"/>
          <w:rFonts w:ascii="Verdana" w:hAnsi="Verdana"/>
          <w:b/>
          <w:i/>
          <w:color w:val="000000"/>
          <w:sz w:val="22"/>
          <w:szCs w:val="22"/>
        </w:rPr>
        <w:footnoteReference w:id="12"/>
      </w:r>
    </w:p>
    <w:p w14:paraId="420D59CA" w14:textId="77777777" w:rsidR="00C5660E" w:rsidRPr="005C5FA0" w:rsidRDefault="00C5660E" w:rsidP="00C5660E">
      <w:pPr>
        <w:spacing w:after="0" w:line="240" w:lineRule="auto"/>
        <w:rPr>
          <w:rFonts w:ascii="Verdana" w:eastAsia="Times New Roman" w:hAnsi="Verdana" w:cs="Times New Roman"/>
          <w:b/>
          <w:i/>
        </w:rPr>
      </w:pPr>
    </w:p>
    <w:p w14:paraId="153A62B1" w14:textId="77777777" w:rsidR="00C5660E" w:rsidRPr="005C5FA0"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a listing of deposit sites</w:t>
      </w:r>
      <w:r w:rsidRPr="005C5FA0">
        <w:rPr>
          <w:rStyle w:val="FootnoteReference"/>
          <w:rFonts w:ascii="Verdana" w:eastAsia="Calibri" w:hAnsi="Verdana" w:cs="Times New Roman"/>
        </w:rPr>
        <w:footnoteReference w:id="13"/>
      </w:r>
      <w:r w:rsidRPr="005C5FA0">
        <w:rPr>
          <w:rFonts w:ascii="Verdana" w:eastAsia="Calibri" w:hAnsi="Verdana" w:cs="Times New Roman"/>
        </w:rPr>
        <w:t xml:space="preserve"> for the fiscal period where deposits for cash/checks/money orders (cash) are prepared and management’s representation that the listing is complete.  Randomly select 5 deposit sites (or all deposit sites if less than 5).  </w:t>
      </w:r>
    </w:p>
    <w:p w14:paraId="7BE8DEA3" w14:textId="77777777" w:rsidR="00C5660E" w:rsidRPr="005C5FA0"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For each deposit site selected, obtain a listing of collection locations</w:t>
      </w:r>
      <w:r w:rsidRPr="005C5FA0">
        <w:rPr>
          <w:rStyle w:val="FootnoteReference"/>
          <w:rFonts w:ascii="Verdana" w:eastAsia="Calibri" w:hAnsi="Verdana" w:cs="Times New Roman"/>
        </w:rPr>
        <w:footnoteReference w:id="14"/>
      </w:r>
      <w:r w:rsidRPr="005C5FA0">
        <w:rPr>
          <w:rFonts w:ascii="Verdana" w:eastAsia="Calibri" w:hAnsi="Verdana" w:cs="Times New Roman"/>
        </w:rPr>
        <w:t xml:space="preserve"> and management’s representation that the listing is complete.  Randomly select one collection location for each deposit site (e.g., 5 collection locations for 5 deposit sites), obtain and inspect written policies and procedures relating to employee job duties (if there are no written policies or procedures, then inquire of employees about their job duties) at each collection location, and observe that job duties are properly segregated at each collection location such that</w:t>
      </w:r>
    </w:p>
    <w:p w14:paraId="2FB21837" w14:textId="77777777" w:rsidR="00C5660E" w:rsidRPr="005C5FA0"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Employees responsible for cash collections do not share cash drawers/registers;</w:t>
      </w:r>
    </w:p>
    <w:p w14:paraId="5E57B957" w14:textId="77777777" w:rsidR="00C5660E" w:rsidRPr="005C5FA0"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Each employee responsible for collecting cash is not also responsible for preparing/making bank deposits, unless another employee/official is responsible for reconciling collection documentation (e.g., pre-numbered receipts) to the deposit;</w:t>
      </w:r>
    </w:p>
    <w:p w14:paraId="666E23C2" w14:textId="77777777" w:rsidR="00C5660E" w:rsidRPr="005C5FA0"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Each employee responsible for collecting cash is not also responsible for posting collection entries to the general ledger or subsidiary ledgers, unless another employee/official is responsible for reconciling ledger postings to each other and to the deposit; and</w:t>
      </w:r>
    </w:p>
    <w:p w14:paraId="2A5EAB8F" w14:textId="77777777" w:rsidR="00C5660E" w:rsidRPr="005C5FA0" w:rsidRDefault="00C5660E" w:rsidP="00A222BF">
      <w:pPr>
        <w:numPr>
          <w:ilvl w:val="0"/>
          <w:numId w:val="62"/>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lastRenderedPageBreak/>
        <w:t>The employee(s) responsible for reconciling cash collections to the general ledger and/or subsidiary ledgers, by revenue source and/or agency fund additions, is (are) not also responsible for collecting cash, unless another employee/official verifies the reconciliation.</w:t>
      </w:r>
    </w:p>
    <w:p w14:paraId="0CE85DE0" w14:textId="77777777" w:rsidR="00C5660E" w:rsidRPr="005C5FA0"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from management a copy of the bond or insurance policy for theft covering all employees who have access to cash. Observe that the bond or insurance policy for theft was in force during the fiscal period.</w:t>
      </w:r>
    </w:p>
    <w:p w14:paraId="49661472" w14:textId="77777777" w:rsidR="00C5660E" w:rsidRPr="005C5FA0" w:rsidRDefault="00C5660E" w:rsidP="00A222BF">
      <w:pPr>
        <w:numPr>
          <w:ilvl w:val="0"/>
          <w:numId w:val="53"/>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 xml:space="preserve">Randomly select two deposit dates for each of the 5 bank accounts selected for Bank Reconciliations </w:t>
      </w:r>
      <w:r w:rsidRPr="005C5FA0">
        <w:rPr>
          <w:rFonts w:ascii="Verdana" w:eastAsia="Times New Roman" w:hAnsi="Verdana" w:cs="Times New Roman"/>
        </w:rPr>
        <w:t xml:space="preserve">procedure #3A (select the next deposit date chronologically if no deposits were made on the dates randomly selected and randomly select a deposit if multiple deposits are made on the same day).  </w:t>
      </w:r>
      <w:r w:rsidRPr="005C5FA0">
        <w:rPr>
          <w:rFonts w:ascii="Verdana" w:eastAsia="Times New Roman" w:hAnsi="Verdana" w:cs="Times New Roman"/>
          <w:i/>
        </w:rPr>
        <w:t>Alternatively, the practitioner may use a source document other than bank statements when selecting the deposit dates for testing, such as a cash collection log, daily revenue report, receipt book, etc.</w:t>
      </w:r>
      <w:r w:rsidRPr="005C5FA0">
        <w:rPr>
          <w:rFonts w:ascii="Verdana" w:eastAsia="Times New Roman" w:hAnsi="Verdana" w:cs="Times New Roman"/>
        </w:rPr>
        <w:t xml:space="preserve">  Obtain supporting documentation for each of the 10 deposits and:</w:t>
      </w:r>
    </w:p>
    <w:p w14:paraId="6C2B2A7C" w14:textId="77777777" w:rsidR="00C5660E" w:rsidRPr="005C5FA0"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Observe that receipts are sequentially pre-numbered.</w:t>
      </w:r>
      <w:r w:rsidRPr="005C5FA0">
        <w:rPr>
          <w:rStyle w:val="FootnoteReference"/>
          <w:rFonts w:ascii="Verdana" w:eastAsia="Calibri" w:hAnsi="Verdana" w:cs="Times New Roman"/>
        </w:rPr>
        <w:footnoteReference w:id="15"/>
      </w:r>
    </w:p>
    <w:p w14:paraId="4F09C56A" w14:textId="77777777" w:rsidR="00C5660E" w:rsidRPr="005C5FA0"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Trace sequentially pre-numbered receipts, system reports, and other related collection documentation to the deposit slip.</w:t>
      </w:r>
    </w:p>
    <w:p w14:paraId="44E762C7" w14:textId="77777777" w:rsidR="00C5660E" w:rsidRPr="005C5FA0"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Trace the deposit slip total to the actual deposit per the bank statement.</w:t>
      </w:r>
    </w:p>
    <w:p w14:paraId="7BC53C03" w14:textId="11384AB9" w:rsidR="00C5660E" w:rsidRPr="005C5FA0"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Observe that the deposit was made within one business day of receipt</w:t>
      </w:r>
      <w:r w:rsidR="00F94089">
        <w:rPr>
          <w:rStyle w:val="FootnoteReference"/>
          <w:rFonts w:ascii="Verdana" w:eastAsia="Calibri" w:hAnsi="Verdana" w:cs="Times New Roman"/>
        </w:rPr>
        <w:footnoteReference w:id="16"/>
      </w:r>
      <w:r w:rsidRPr="005C5FA0">
        <w:rPr>
          <w:rFonts w:ascii="Verdana" w:eastAsia="Calibri" w:hAnsi="Verdana" w:cs="Times New Roman"/>
        </w:rPr>
        <w:t xml:space="preserve"> at the collection location (within one week if the depository is more than 10 miles from the collection location or the deposit is less than $100 and the cash is stored securely in a locked safe or drawer).</w:t>
      </w:r>
      <w:r w:rsidR="00B110DB">
        <w:rPr>
          <w:rFonts w:ascii="Verdana" w:eastAsia="Calibri" w:hAnsi="Verdana" w:cs="Times New Roman"/>
        </w:rPr>
        <w:t xml:space="preserve"> </w:t>
      </w:r>
    </w:p>
    <w:p w14:paraId="589C497B" w14:textId="77777777" w:rsidR="00C5660E" w:rsidRPr="005C5FA0" w:rsidRDefault="00C5660E" w:rsidP="00A222BF">
      <w:pPr>
        <w:numPr>
          <w:ilvl w:val="0"/>
          <w:numId w:val="63"/>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Trace the actual deposit per the bank statement to the general ledger.</w:t>
      </w:r>
    </w:p>
    <w:p w14:paraId="7EBBE067" w14:textId="77777777" w:rsidR="00C5660E" w:rsidRPr="005C5FA0" w:rsidRDefault="00C5660E" w:rsidP="00C5660E">
      <w:pPr>
        <w:spacing w:after="0" w:line="240" w:lineRule="auto"/>
        <w:jc w:val="both"/>
        <w:rPr>
          <w:rFonts w:ascii="Verdana" w:eastAsia="Calibri" w:hAnsi="Verdana" w:cs="Times New Roman"/>
        </w:rPr>
      </w:pPr>
    </w:p>
    <w:p w14:paraId="089CBEC4" w14:textId="77777777" w:rsidR="00C5660E" w:rsidRPr="005C5FA0" w:rsidRDefault="00C5660E" w:rsidP="00C5660E">
      <w:pPr>
        <w:pStyle w:val="ListParagraph"/>
        <w:numPr>
          <w:ilvl w:val="0"/>
          <w:numId w:val="50"/>
        </w:numPr>
        <w:pBdr>
          <w:bottom w:val="single" w:sz="4" w:space="1" w:color="auto"/>
        </w:pBdr>
        <w:rPr>
          <w:rFonts w:ascii="Verdana" w:eastAsia="Calibri" w:hAnsi="Verdana"/>
          <w:b/>
          <w:i/>
          <w:sz w:val="22"/>
          <w:szCs w:val="22"/>
        </w:rPr>
      </w:pPr>
      <w:bookmarkStart w:id="26" w:name="NONPAYROLL_DISBURSEMENTS"/>
      <w:r w:rsidRPr="005C5FA0">
        <w:rPr>
          <w:rFonts w:ascii="Verdana" w:eastAsia="Calibri" w:hAnsi="Verdana"/>
          <w:b/>
          <w:i/>
          <w:sz w:val="22"/>
          <w:szCs w:val="22"/>
        </w:rPr>
        <w:t xml:space="preserve">Non-Payroll Disbursements </w:t>
      </w:r>
      <w:bookmarkEnd w:id="26"/>
      <w:r w:rsidRPr="005C5FA0">
        <w:rPr>
          <w:rFonts w:ascii="Verdana" w:eastAsia="Calibri" w:hAnsi="Verdana"/>
          <w:b/>
          <w:i/>
          <w:sz w:val="22"/>
          <w:szCs w:val="22"/>
        </w:rPr>
        <w:t>(excluding card purchases, travel reimbursements, and petty cash purchases)</w:t>
      </w:r>
    </w:p>
    <w:p w14:paraId="004F15B0" w14:textId="77777777" w:rsidR="00C5660E" w:rsidRPr="005C5FA0" w:rsidRDefault="00C5660E" w:rsidP="00C5660E">
      <w:pPr>
        <w:spacing w:after="0"/>
        <w:jc w:val="both"/>
        <w:rPr>
          <w:rFonts w:ascii="Verdana" w:eastAsia="Calibri" w:hAnsi="Verdana" w:cs="Times New Roman"/>
          <w:b/>
          <w:i/>
        </w:rPr>
      </w:pPr>
    </w:p>
    <w:p w14:paraId="74FFA20E" w14:textId="77777777" w:rsidR="00C5660E" w:rsidRPr="005C5FA0" w:rsidRDefault="00C5660E" w:rsidP="00A222BF">
      <w:pPr>
        <w:numPr>
          <w:ilvl w:val="0"/>
          <w:numId w:val="10"/>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a listing of locations that process payments for the fiscal period and management’s representation that the listing is complete.  Randomly select 5 locations (or all locations if less than 5).</w:t>
      </w:r>
    </w:p>
    <w:p w14:paraId="0DF8D7DF" w14:textId="77777777" w:rsidR="00C5660E" w:rsidRPr="005C5FA0" w:rsidRDefault="00C5660E" w:rsidP="00A222BF">
      <w:pPr>
        <w:numPr>
          <w:ilvl w:val="0"/>
          <w:numId w:val="10"/>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For each location selected under procedure #5A above, obtain a listing of those employees involved with non-payroll purchasing and payment functions.  Obtain written policies and procedures relating to employee job duties (if the agency has no written policies and procedures, then inquire of employees about their job duties), and observe that job duties are properly segregated such that</w:t>
      </w:r>
      <w:bookmarkStart w:id="27" w:name="_GoBack"/>
      <w:bookmarkEnd w:id="27"/>
    </w:p>
    <w:p w14:paraId="1E7E2D5A" w14:textId="77777777" w:rsidR="00C5660E" w:rsidRPr="005C5FA0"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lastRenderedPageBreak/>
        <w:t>At least two employees are involved in initiating a purchase request, approving a purchase, and placing an order or making the purchase;</w:t>
      </w:r>
    </w:p>
    <w:p w14:paraId="699E9708" w14:textId="77777777" w:rsidR="00C5660E" w:rsidRPr="005C5FA0"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At least two employees are involved in processing and approving payments to vendors;</w:t>
      </w:r>
    </w:p>
    <w:p w14:paraId="0414F6BC" w14:textId="77777777" w:rsidR="00C5660E" w:rsidRPr="005C5FA0"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The employee responsible for processing payments is prohibited from adding/modifying vendor files, unless another employee is responsible for periodically reviewing changes to vendor files;</w:t>
      </w:r>
    </w:p>
    <w:p w14:paraId="334A4232" w14:textId="77777777" w:rsidR="00C5660E" w:rsidRPr="005C5FA0"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Either the employee/official responsible for signing checks mails the payment or gives the signed checks to an employee to mail who is not responsible for processing payments; and</w:t>
      </w:r>
    </w:p>
    <w:p w14:paraId="42DA3EF9" w14:textId="765ADF86" w:rsidR="00C5660E" w:rsidRPr="00BE5186" w:rsidRDefault="00C5660E" w:rsidP="00A222BF">
      <w:pPr>
        <w:numPr>
          <w:ilvl w:val="0"/>
          <w:numId w:val="37"/>
        </w:numPr>
        <w:tabs>
          <w:tab w:val="clear" w:pos="720"/>
          <w:tab w:val="num" w:pos="1440"/>
        </w:tabs>
        <w:spacing w:after="120" w:line="240" w:lineRule="auto"/>
        <w:ind w:left="1440" w:hanging="720"/>
        <w:jc w:val="both"/>
        <w:rPr>
          <w:rFonts w:ascii="Verdana" w:eastAsia="Calibri" w:hAnsi="Verdana" w:cs="Times New Roman"/>
        </w:rPr>
      </w:pPr>
      <w:r w:rsidRPr="00BE5186">
        <w:rPr>
          <w:rFonts w:ascii="Verdana" w:eastAsia="Calibri" w:hAnsi="Verdana" w:cs="Times New Roman"/>
        </w:rPr>
        <w:t xml:space="preserve">Only employees/officials </w:t>
      </w:r>
      <w:r w:rsidR="007B2B9C" w:rsidRPr="00BE5186">
        <w:rPr>
          <w:rFonts w:ascii="Verdana" w:eastAsia="Calibri" w:hAnsi="Verdana" w:cs="Times New Roman"/>
        </w:rPr>
        <w:t>authorized to sign</w:t>
      </w:r>
      <w:r w:rsidRPr="00BE5186">
        <w:rPr>
          <w:rFonts w:ascii="Verdana" w:eastAsia="Calibri" w:hAnsi="Verdana" w:cs="Times New Roman"/>
        </w:rPr>
        <w:t xml:space="preserve"> checks approve the electronic disbursement (release) of funds, whether through automated clearinghouse (ACH), electronic funds transfer (EFT), wire transfer, or some other electronic means.</w:t>
      </w:r>
    </w:p>
    <w:p w14:paraId="49AEA2E2" w14:textId="77777777" w:rsidR="00C5660E" w:rsidRPr="005C5FA0" w:rsidRDefault="00C5660E" w:rsidP="00A222BF">
      <w:pPr>
        <w:spacing w:after="120" w:line="240" w:lineRule="auto"/>
        <w:ind w:left="450"/>
        <w:jc w:val="both"/>
        <w:rPr>
          <w:rFonts w:ascii="Verdana" w:eastAsia="Calibri" w:hAnsi="Verdana" w:cs="Times New Roman"/>
          <w:i/>
        </w:rPr>
      </w:pPr>
      <w:r w:rsidRPr="005C5FA0">
        <w:rPr>
          <w:rFonts w:ascii="Verdana" w:eastAsia="Calibri" w:hAnsi="Verdana" w:cs="Times New Roman"/>
          <w:i/>
        </w:rPr>
        <w:t>[Note: Findings related to controls that constrain the legal authority of certain public officials (e.g., mayor of a Lawrason Act municipality) should not be reported.]</w:t>
      </w:r>
    </w:p>
    <w:p w14:paraId="4BAB9C6E" w14:textId="77777777" w:rsidR="00C5660E" w:rsidRPr="005C5FA0" w:rsidRDefault="00C5660E" w:rsidP="00A222BF">
      <w:pPr>
        <w:numPr>
          <w:ilvl w:val="0"/>
          <w:numId w:val="10"/>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For each location selected under procedure #5A above, obtain the entity’s non-payroll disbursement transaction population (excluding cards and travel reimbursements) and obtain management’s representation that the population is complete.  Randomly select 5 disbursements for each location, obtain supporting documentation for each transaction, and</w:t>
      </w:r>
    </w:p>
    <w:p w14:paraId="119D0A1F" w14:textId="77777777" w:rsidR="00C5660E" w:rsidRPr="005C5FA0" w:rsidRDefault="00C5660E" w:rsidP="00A222BF">
      <w:pPr>
        <w:numPr>
          <w:ilvl w:val="0"/>
          <w:numId w:val="64"/>
        </w:numPr>
        <w:tabs>
          <w:tab w:val="clear" w:pos="720"/>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Observe whether the disbursement, whether by paper or electronic means, matched the related original itemized invoice and supporting documentation indicates that deliverables included on the invoice were received by the entity, and</w:t>
      </w:r>
    </w:p>
    <w:p w14:paraId="5099F8CA" w14:textId="77777777" w:rsidR="00C5660E" w:rsidRPr="005C5FA0" w:rsidRDefault="00C5660E" w:rsidP="00A222BF">
      <w:pPr>
        <w:pStyle w:val="ListParagraph"/>
        <w:numPr>
          <w:ilvl w:val="0"/>
          <w:numId w:val="64"/>
        </w:numPr>
        <w:tabs>
          <w:tab w:val="clear" w:pos="720"/>
          <w:tab w:val="num" w:pos="1440"/>
        </w:tabs>
        <w:ind w:left="1440" w:hanging="720"/>
        <w:jc w:val="both"/>
        <w:rPr>
          <w:rFonts w:ascii="Verdana" w:eastAsia="Calibri" w:hAnsi="Verdana"/>
          <w:sz w:val="22"/>
          <w:szCs w:val="22"/>
        </w:rPr>
      </w:pPr>
      <w:r w:rsidRPr="005C5FA0">
        <w:rPr>
          <w:rFonts w:ascii="Verdana" w:eastAsia="Calibri" w:hAnsi="Verdana"/>
          <w:sz w:val="22"/>
          <w:szCs w:val="22"/>
        </w:rPr>
        <w:t>Observe whether the disbursement documentation included evidence (e.g., initial/date, electronic logging) of segregation of duties tested under procedure #5B above, as applicable.</w:t>
      </w:r>
    </w:p>
    <w:p w14:paraId="3DEA39B2" w14:textId="77777777" w:rsidR="00C5660E" w:rsidRPr="005C5FA0" w:rsidRDefault="00C5660E" w:rsidP="00C5660E">
      <w:pPr>
        <w:pStyle w:val="ListParagraph"/>
        <w:jc w:val="both"/>
        <w:rPr>
          <w:rFonts w:ascii="Verdana" w:eastAsia="Calibri" w:hAnsi="Verdana"/>
          <w:sz w:val="22"/>
          <w:szCs w:val="22"/>
        </w:rPr>
      </w:pPr>
    </w:p>
    <w:p w14:paraId="5DB4331C" w14:textId="59CBBCDD" w:rsidR="00C5660E" w:rsidRPr="00BE5186" w:rsidRDefault="00C5660E" w:rsidP="00A222BF">
      <w:pPr>
        <w:pStyle w:val="ListParagraph"/>
        <w:numPr>
          <w:ilvl w:val="0"/>
          <w:numId w:val="10"/>
        </w:numPr>
        <w:tabs>
          <w:tab w:val="clear" w:pos="360"/>
          <w:tab w:val="num" w:pos="720"/>
        </w:tabs>
        <w:spacing w:after="120"/>
        <w:ind w:left="720" w:hanging="720"/>
        <w:jc w:val="both"/>
        <w:rPr>
          <w:rFonts w:ascii="Verdana" w:eastAsia="Calibri" w:hAnsi="Verdana"/>
          <w:sz w:val="22"/>
          <w:szCs w:val="22"/>
        </w:rPr>
      </w:pPr>
      <w:r w:rsidRPr="00BE5186">
        <w:rPr>
          <w:rFonts w:ascii="Verdana" w:eastAsia="Calibri" w:hAnsi="Verdana"/>
          <w:sz w:val="22"/>
          <w:szCs w:val="22"/>
        </w:rPr>
        <w:t>Using the entity’s main operating account and the month selected in Bank Reconciliations procedure #3A, randomly select 5 non-payroll-related electronic disbursements (or all electronic disbursements if less than 5) and observe that each electronic disbursement was (a) approved by only those persons authorized to disburse funds (e.g., sign checks) per the entity’s policy, and (b) approved by the required number of authorized signers per the entity’s policy.</w:t>
      </w:r>
      <w:r w:rsidR="003651EF" w:rsidRPr="00BE5186">
        <w:rPr>
          <w:rFonts w:ascii="Verdana" w:eastAsia="Calibri" w:hAnsi="Verdana"/>
          <w:sz w:val="22"/>
          <w:szCs w:val="22"/>
        </w:rPr>
        <w:t xml:space="preserve"> Note: If no electronic payments were made from the main operating account during the month selected the practitioner should select an alternative month and/or account for testing</w:t>
      </w:r>
      <w:r w:rsidR="002B3646">
        <w:rPr>
          <w:rFonts w:ascii="Verdana" w:eastAsia="Calibri" w:hAnsi="Verdana"/>
          <w:sz w:val="22"/>
          <w:szCs w:val="22"/>
        </w:rPr>
        <w:t xml:space="preserve"> that does include electronic disbursements</w:t>
      </w:r>
      <w:r w:rsidR="003651EF" w:rsidRPr="00BE5186">
        <w:rPr>
          <w:rFonts w:ascii="Verdana" w:eastAsia="Calibri" w:hAnsi="Verdana"/>
          <w:sz w:val="22"/>
          <w:szCs w:val="22"/>
        </w:rPr>
        <w:t xml:space="preserve">. </w:t>
      </w:r>
    </w:p>
    <w:p w14:paraId="6FADABE9" w14:textId="77777777" w:rsidR="002F44B1" w:rsidRPr="00BE5186" w:rsidRDefault="002F44B1" w:rsidP="00F734A5">
      <w:pPr>
        <w:pStyle w:val="ListParagraph"/>
        <w:spacing w:after="120"/>
        <w:jc w:val="both"/>
        <w:rPr>
          <w:rFonts w:ascii="Verdana" w:eastAsia="Calibri" w:hAnsi="Verdana"/>
          <w:sz w:val="22"/>
          <w:szCs w:val="22"/>
        </w:rPr>
      </w:pPr>
    </w:p>
    <w:p w14:paraId="6519A405" w14:textId="77777777" w:rsidR="00C5660E" w:rsidRPr="005C5FA0" w:rsidRDefault="00C5660E" w:rsidP="00C5660E">
      <w:pPr>
        <w:pStyle w:val="ListParagraph"/>
        <w:ind w:left="0"/>
        <w:jc w:val="both"/>
        <w:rPr>
          <w:rFonts w:ascii="Verdana" w:eastAsia="Calibri" w:hAnsi="Verdana"/>
          <w:sz w:val="22"/>
          <w:szCs w:val="22"/>
        </w:rPr>
      </w:pPr>
    </w:p>
    <w:p w14:paraId="529D33D4" w14:textId="77777777" w:rsidR="00C5660E" w:rsidRPr="005C5FA0" w:rsidRDefault="00C5660E" w:rsidP="00C5660E">
      <w:pPr>
        <w:spacing w:before="120" w:after="0" w:line="240" w:lineRule="auto"/>
        <w:ind w:left="720"/>
        <w:jc w:val="both"/>
        <w:rPr>
          <w:rFonts w:ascii="Verdana" w:hAnsi="Verdana" w:cs="Times New Roman"/>
        </w:rPr>
      </w:pPr>
    </w:p>
    <w:p w14:paraId="73DA39B5" w14:textId="77777777" w:rsidR="00C5660E" w:rsidRPr="005C5FA0" w:rsidRDefault="00C5660E" w:rsidP="00C5660E">
      <w:pPr>
        <w:pStyle w:val="ListParagraph"/>
        <w:numPr>
          <w:ilvl w:val="0"/>
          <w:numId w:val="50"/>
        </w:numPr>
        <w:pBdr>
          <w:bottom w:val="single" w:sz="4" w:space="1" w:color="auto"/>
        </w:pBdr>
        <w:rPr>
          <w:rFonts w:ascii="Verdana" w:hAnsi="Verdana"/>
          <w:b/>
          <w:i/>
          <w:sz w:val="22"/>
          <w:szCs w:val="22"/>
        </w:rPr>
      </w:pPr>
      <w:bookmarkStart w:id="28" w:name="CARDS"/>
      <w:r w:rsidRPr="005C5FA0">
        <w:rPr>
          <w:rFonts w:ascii="Verdana" w:hAnsi="Verdana"/>
          <w:b/>
          <w:i/>
          <w:sz w:val="22"/>
          <w:szCs w:val="22"/>
        </w:rPr>
        <w:lastRenderedPageBreak/>
        <w:t xml:space="preserve">Credit Cards/Debit Cards/Fuel Cards/Purchase Cards </w:t>
      </w:r>
      <w:bookmarkEnd w:id="28"/>
      <w:r w:rsidRPr="005C5FA0">
        <w:rPr>
          <w:rFonts w:ascii="Verdana" w:hAnsi="Verdana"/>
          <w:b/>
          <w:i/>
          <w:sz w:val="22"/>
          <w:szCs w:val="22"/>
        </w:rPr>
        <w:t>(Cards)</w:t>
      </w:r>
    </w:p>
    <w:p w14:paraId="15E4D1F6" w14:textId="77777777" w:rsidR="00C5660E" w:rsidRPr="005C5FA0" w:rsidRDefault="00C5660E" w:rsidP="00C5660E">
      <w:pPr>
        <w:spacing w:after="0" w:line="240" w:lineRule="auto"/>
        <w:rPr>
          <w:rFonts w:ascii="Verdana" w:eastAsia="Times New Roman" w:hAnsi="Verdana" w:cs="Times New Roman"/>
          <w:b/>
          <w:i/>
        </w:rPr>
      </w:pPr>
    </w:p>
    <w:p w14:paraId="065791ED" w14:textId="77777777" w:rsidR="00C5660E" w:rsidRPr="005C5FA0" w:rsidRDefault="00C5660E" w:rsidP="00A222BF">
      <w:pPr>
        <w:numPr>
          <w:ilvl w:val="0"/>
          <w:numId w:val="54"/>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from management a listing of all active credit cards, bank debit cards, fuel cards, and purchase cards (cards) for the fiscal period, including the card numbers and the names of the persons who maintained possession of the cards</w:t>
      </w:r>
      <w:r w:rsidRPr="005C5FA0">
        <w:rPr>
          <w:rStyle w:val="FootnoteReference"/>
          <w:rFonts w:ascii="Verdana" w:eastAsia="Calibri" w:hAnsi="Verdana" w:cs="Times New Roman"/>
        </w:rPr>
        <w:footnoteReference w:id="17"/>
      </w:r>
      <w:r w:rsidRPr="005C5FA0">
        <w:rPr>
          <w:rFonts w:ascii="Verdana" w:eastAsia="Calibri" w:hAnsi="Verdana" w:cs="Times New Roman"/>
        </w:rPr>
        <w:t>.  Obtain management’s representation that the listing is complete.</w:t>
      </w:r>
    </w:p>
    <w:p w14:paraId="6885F67B" w14:textId="0AAB07B1" w:rsidR="00C5660E" w:rsidRPr="005C5FA0" w:rsidRDefault="00C5660E" w:rsidP="00A222BF">
      <w:pPr>
        <w:numPr>
          <w:ilvl w:val="0"/>
          <w:numId w:val="54"/>
        </w:numPr>
        <w:shd w:val="clear" w:color="auto" w:fill="FFFFFF" w:themeFill="background1"/>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Using the listing prepared by management, randomly select 5 cards (or all cards if less than 5) that were used during the fiscal period.  Randomly select one monthly statement or combined statement for each card (for a debit card, randomly select one monthly bank statement). Obtain supporting documentation, and</w:t>
      </w:r>
    </w:p>
    <w:p w14:paraId="764DAE2A" w14:textId="07D8A108" w:rsidR="00C5660E" w:rsidRPr="005C5FA0" w:rsidRDefault="00C5660E" w:rsidP="00A222BF">
      <w:pPr>
        <w:numPr>
          <w:ilvl w:val="0"/>
          <w:numId w:val="30"/>
        </w:numPr>
        <w:tabs>
          <w:tab w:val="clear" w:pos="936"/>
          <w:tab w:val="num" w:pos="1440"/>
        </w:tabs>
        <w:spacing w:after="120" w:line="240" w:lineRule="auto"/>
        <w:ind w:left="1440" w:hanging="720"/>
        <w:jc w:val="both"/>
        <w:rPr>
          <w:rFonts w:ascii="Verdana" w:eastAsia="Calibri" w:hAnsi="Verdana" w:cs="Times New Roman"/>
        </w:rPr>
      </w:pPr>
      <w:r w:rsidRPr="005C5FA0">
        <w:rPr>
          <w:rFonts w:ascii="Verdana" w:eastAsia="Calibri" w:hAnsi="Verdana" w:cs="Times New Roman"/>
        </w:rPr>
        <w:t>Observe whether there is evidence that the monthly statement or combined statement and supporting documentation (e.g., original receipts for credit/debit card purchases, exception reports for excessive fuel card usage) were reviewed and approved, in writing (or electronically approved) by someone other than the authorized card holder (</w:t>
      </w:r>
      <w:r w:rsidR="002B3646">
        <w:rPr>
          <w:rFonts w:ascii="Verdana" w:eastAsia="Calibri" w:hAnsi="Verdana" w:cs="Times New Roman"/>
        </w:rPr>
        <w:t>t</w:t>
      </w:r>
      <w:r w:rsidRPr="005C5FA0">
        <w:rPr>
          <w:rFonts w:ascii="Verdana" w:eastAsia="Calibri" w:hAnsi="Verdana" w:cs="Times New Roman"/>
        </w:rPr>
        <w:t>hose instances requiring such approval that may constrain the legal authority of certain public officials, such as the mayor of a Lawrason Act municipality, should not be reported); and</w:t>
      </w:r>
    </w:p>
    <w:p w14:paraId="1D1F672A" w14:textId="77777777" w:rsidR="00C5660E" w:rsidRPr="005C5FA0" w:rsidRDefault="00C5660E" w:rsidP="00A222BF">
      <w:pPr>
        <w:numPr>
          <w:ilvl w:val="0"/>
          <w:numId w:val="30"/>
        </w:numPr>
        <w:tabs>
          <w:tab w:val="clear" w:pos="936"/>
          <w:tab w:val="num" w:pos="1440"/>
        </w:tabs>
        <w:spacing w:after="0" w:line="240" w:lineRule="auto"/>
        <w:ind w:left="1440" w:hanging="720"/>
        <w:jc w:val="both"/>
        <w:rPr>
          <w:rFonts w:ascii="Verdana" w:eastAsia="Calibri" w:hAnsi="Verdana" w:cs="Times New Roman"/>
        </w:rPr>
      </w:pPr>
      <w:r w:rsidRPr="005C5FA0">
        <w:rPr>
          <w:rFonts w:ascii="Verdana" w:eastAsia="Calibri" w:hAnsi="Verdana" w:cs="Times New Roman"/>
        </w:rPr>
        <w:t>Observe that finance charges and late fees were not assessed on the selected statements.</w:t>
      </w:r>
    </w:p>
    <w:p w14:paraId="58C56AEE" w14:textId="77777777" w:rsidR="00C5660E" w:rsidRPr="005C5FA0" w:rsidRDefault="00C5660E" w:rsidP="00C5660E">
      <w:pPr>
        <w:pStyle w:val="ListParagraph"/>
        <w:rPr>
          <w:rFonts w:ascii="Verdana" w:eastAsia="Calibri" w:hAnsi="Verdana"/>
          <w:sz w:val="22"/>
          <w:szCs w:val="22"/>
        </w:rPr>
      </w:pPr>
    </w:p>
    <w:p w14:paraId="28A420E7" w14:textId="42EA3258" w:rsidR="00C5660E" w:rsidRPr="005C5FA0" w:rsidRDefault="00C5660E" w:rsidP="00A222BF">
      <w:pPr>
        <w:numPr>
          <w:ilvl w:val="0"/>
          <w:numId w:val="54"/>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 xml:space="preserve">Using the monthly statements or combined statements selected under procedure #7B above, </w:t>
      </w:r>
      <w:r w:rsidRPr="005C5FA0">
        <w:rPr>
          <w:rFonts w:ascii="Verdana" w:eastAsia="Calibri" w:hAnsi="Verdana" w:cs="Times New Roman"/>
          <w:u w:val="single"/>
        </w:rPr>
        <w:t>excluding fuel cards</w:t>
      </w:r>
      <w:r w:rsidRPr="005C5FA0">
        <w:rPr>
          <w:rFonts w:ascii="Verdana" w:eastAsia="Calibri" w:hAnsi="Verdana" w:cs="Times New Roman"/>
        </w:rPr>
        <w:t>, randomly select 10 transactions (or all transactions if less than 10) from each statement, and obtain supporting documentation for the transactions (e.g., each card should have 10 transactions subject to inspection)</w:t>
      </w:r>
      <w:r w:rsidRPr="005C5FA0">
        <w:rPr>
          <w:rStyle w:val="FootnoteReference"/>
          <w:rFonts w:ascii="Verdana" w:eastAsia="Calibri" w:hAnsi="Verdana" w:cs="Times New Roman"/>
        </w:rPr>
        <w:footnoteReference w:id="18"/>
      </w:r>
      <w:r w:rsidRPr="005C5FA0">
        <w:rPr>
          <w:rFonts w:ascii="Verdana" w:eastAsia="Calibri" w:hAnsi="Verdana" w:cs="Times New Roman"/>
        </w:rPr>
        <w:t>.  For each transaction, observe that it is supported by (1) an original itemized receipt that identifies precisely what was purchased, (2) written documentation of the business/public purpose, and (3) documentation of the individuals participating in meals (for meal charges only).  For missing receipts, the practitioner should describe the nature of the transaction and observe whether management had a compensating control to address missing receipts, such as a “missing receipt statement” that is subject to increased scrutiny.</w:t>
      </w:r>
    </w:p>
    <w:p w14:paraId="2D9A2533" w14:textId="24B6D4C0" w:rsidR="00F734A5" w:rsidRPr="005C5FA0" w:rsidRDefault="00F734A5" w:rsidP="00F734A5">
      <w:pPr>
        <w:spacing w:after="120" w:line="240" w:lineRule="auto"/>
        <w:ind w:left="720"/>
        <w:jc w:val="both"/>
        <w:rPr>
          <w:rFonts w:ascii="Verdana" w:eastAsia="Calibri" w:hAnsi="Verdana" w:cs="Times New Roman"/>
        </w:rPr>
      </w:pPr>
    </w:p>
    <w:p w14:paraId="150C998D" w14:textId="1F6B7ADC" w:rsidR="00F734A5" w:rsidRPr="005C5FA0" w:rsidRDefault="00F734A5" w:rsidP="00F734A5">
      <w:pPr>
        <w:spacing w:after="120" w:line="240" w:lineRule="auto"/>
        <w:ind w:left="720"/>
        <w:jc w:val="both"/>
        <w:rPr>
          <w:rFonts w:ascii="Verdana" w:eastAsia="Calibri" w:hAnsi="Verdana" w:cs="Times New Roman"/>
        </w:rPr>
      </w:pPr>
    </w:p>
    <w:p w14:paraId="79550C15" w14:textId="77777777" w:rsidR="00F734A5" w:rsidRPr="005C5FA0" w:rsidRDefault="00F734A5" w:rsidP="00F734A5">
      <w:pPr>
        <w:spacing w:after="120" w:line="240" w:lineRule="auto"/>
        <w:ind w:left="720"/>
        <w:jc w:val="both"/>
        <w:rPr>
          <w:rFonts w:ascii="Verdana" w:eastAsia="Calibri" w:hAnsi="Verdana" w:cs="Times New Roman"/>
        </w:rPr>
      </w:pPr>
    </w:p>
    <w:p w14:paraId="7C41D43B" w14:textId="77777777" w:rsidR="003878EF" w:rsidRPr="005C5FA0" w:rsidRDefault="003878EF" w:rsidP="003878EF">
      <w:pPr>
        <w:pStyle w:val="ListParagraph"/>
        <w:numPr>
          <w:ilvl w:val="0"/>
          <w:numId w:val="50"/>
        </w:numPr>
        <w:pBdr>
          <w:bottom w:val="single" w:sz="4" w:space="1" w:color="auto"/>
        </w:pBdr>
        <w:rPr>
          <w:rFonts w:ascii="Verdana" w:hAnsi="Verdana"/>
          <w:b/>
          <w:color w:val="000000"/>
          <w:sz w:val="22"/>
          <w:szCs w:val="22"/>
        </w:rPr>
      </w:pPr>
      <w:r w:rsidRPr="005C5FA0">
        <w:rPr>
          <w:rFonts w:ascii="Verdana" w:hAnsi="Verdana"/>
          <w:b/>
          <w:i/>
          <w:color w:val="000000"/>
          <w:sz w:val="22"/>
          <w:szCs w:val="22"/>
        </w:rPr>
        <w:lastRenderedPageBreak/>
        <w:t>Travel and Travel-Related Expense Reimbursements</w:t>
      </w:r>
      <w:r w:rsidRPr="005C5FA0">
        <w:rPr>
          <w:rStyle w:val="FootnoteReference"/>
          <w:rFonts w:ascii="Verdana" w:hAnsi="Verdana"/>
          <w:b/>
          <w:i/>
          <w:color w:val="000000"/>
          <w:sz w:val="22"/>
          <w:szCs w:val="22"/>
        </w:rPr>
        <w:footnoteReference w:id="19"/>
      </w:r>
      <w:r w:rsidRPr="005C5FA0">
        <w:rPr>
          <w:rFonts w:ascii="Verdana" w:hAnsi="Verdana"/>
          <w:b/>
          <w:i/>
          <w:color w:val="000000"/>
          <w:sz w:val="22"/>
          <w:szCs w:val="22"/>
        </w:rPr>
        <w:t xml:space="preserve"> (excluding card transactions)</w:t>
      </w:r>
    </w:p>
    <w:p w14:paraId="0477C3BD" w14:textId="77777777" w:rsidR="003878EF" w:rsidRPr="005C5FA0" w:rsidRDefault="003878EF" w:rsidP="003878EF">
      <w:pPr>
        <w:spacing w:after="0" w:line="240" w:lineRule="auto"/>
        <w:ind w:left="360"/>
        <w:rPr>
          <w:rFonts w:ascii="Verdana" w:eastAsia="Times New Roman" w:hAnsi="Verdana" w:cs="Times New Roman"/>
        </w:rPr>
      </w:pPr>
    </w:p>
    <w:p w14:paraId="019CD725" w14:textId="77777777" w:rsidR="003878EF" w:rsidRPr="005C5FA0" w:rsidRDefault="003878EF" w:rsidP="003878EF">
      <w:pPr>
        <w:numPr>
          <w:ilvl w:val="0"/>
          <w:numId w:val="55"/>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from management a listing of all travel and travel-related expense reimbursements during the fiscal period and management’s representation that the listing or general ledger is complete.  Randomly select 5 reimbursements and obtain the related expense reimbursement forms/prepaid expense documentation of each selected reimbursement, as well as the supporting documentation.  For each of the 5 reimbursements selected</w:t>
      </w:r>
    </w:p>
    <w:p w14:paraId="78F663BB" w14:textId="77777777" w:rsidR="003878EF" w:rsidRPr="005C5FA0" w:rsidRDefault="003878EF" w:rsidP="003878EF">
      <w:pPr>
        <w:spacing w:after="0" w:line="240" w:lineRule="auto"/>
        <w:ind w:left="720"/>
        <w:jc w:val="both"/>
        <w:rPr>
          <w:rFonts w:ascii="Verdana" w:hAnsi="Verdana" w:cs="Times New Roman"/>
        </w:rPr>
      </w:pPr>
    </w:p>
    <w:p w14:paraId="1F5CED1B" w14:textId="77777777" w:rsidR="003878EF" w:rsidRPr="005C5FA0" w:rsidRDefault="003878EF" w:rsidP="003878EF">
      <w:pPr>
        <w:numPr>
          <w:ilvl w:val="0"/>
          <w:numId w:val="65"/>
        </w:numPr>
        <w:tabs>
          <w:tab w:val="clear" w:pos="936"/>
          <w:tab w:val="num" w:pos="1440"/>
        </w:tabs>
        <w:spacing w:after="120" w:line="240" w:lineRule="auto"/>
        <w:ind w:left="1350" w:hanging="630"/>
        <w:jc w:val="both"/>
        <w:rPr>
          <w:rFonts w:ascii="Verdana" w:hAnsi="Verdana" w:cs="Times New Roman"/>
        </w:rPr>
      </w:pPr>
      <w:r w:rsidRPr="005C5FA0">
        <w:rPr>
          <w:rFonts w:ascii="Verdana" w:hAnsi="Verdana" w:cs="Times New Roman"/>
        </w:rPr>
        <w:t>If reimbursed using a per diem, observe that the approved reimbursement rate is no more than those rates established either by the State of Louisiana or the U.S. General Services Administration (www.gsa.gov);</w:t>
      </w:r>
    </w:p>
    <w:p w14:paraId="4B00E0AD" w14:textId="77777777" w:rsidR="003878EF" w:rsidRPr="005C5FA0" w:rsidRDefault="003878EF" w:rsidP="003878EF">
      <w:pPr>
        <w:numPr>
          <w:ilvl w:val="0"/>
          <w:numId w:val="65"/>
        </w:numPr>
        <w:tabs>
          <w:tab w:val="clear" w:pos="936"/>
          <w:tab w:val="num" w:pos="1440"/>
        </w:tabs>
        <w:spacing w:after="120" w:line="240" w:lineRule="auto"/>
        <w:ind w:left="1350" w:hanging="630"/>
        <w:jc w:val="both"/>
        <w:rPr>
          <w:rFonts w:ascii="Verdana" w:hAnsi="Verdana" w:cs="Times New Roman"/>
        </w:rPr>
      </w:pPr>
      <w:r w:rsidRPr="005C5FA0">
        <w:rPr>
          <w:rFonts w:ascii="Verdana" w:eastAsia="Times New Roman" w:hAnsi="Verdana" w:cs="Times New Roman"/>
        </w:rPr>
        <w:t xml:space="preserve">If reimbursed using actual costs, observe that the reimbursement is supported by an </w:t>
      </w:r>
      <w:r w:rsidRPr="005C5FA0">
        <w:rPr>
          <w:rFonts w:ascii="Verdana" w:eastAsia="Calibri" w:hAnsi="Verdana" w:cs="Times New Roman"/>
        </w:rPr>
        <w:t>original itemized receipt that identifies precisely what was purchased;</w:t>
      </w:r>
    </w:p>
    <w:p w14:paraId="7BB82BB4" w14:textId="7993B23C" w:rsidR="003878EF" w:rsidRPr="005C5FA0" w:rsidRDefault="003878EF" w:rsidP="003878EF">
      <w:pPr>
        <w:numPr>
          <w:ilvl w:val="0"/>
          <w:numId w:val="65"/>
        </w:numPr>
        <w:tabs>
          <w:tab w:val="clear" w:pos="936"/>
          <w:tab w:val="num" w:pos="1440"/>
        </w:tabs>
        <w:spacing w:after="120" w:line="240" w:lineRule="auto"/>
        <w:ind w:left="1350" w:hanging="630"/>
        <w:jc w:val="both"/>
        <w:rPr>
          <w:rFonts w:ascii="Verdana" w:eastAsia="Calibri" w:hAnsi="Verdana" w:cs="Times New Roman"/>
        </w:rPr>
      </w:pPr>
      <w:r w:rsidRPr="005C5FA0">
        <w:rPr>
          <w:rFonts w:ascii="Verdana" w:hAnsi="Verdana" w:cs="Times New Roman"/>
        </w:rPr>
        <w:t>Observe that each reimbursement is supported by d</w:t>
      </w:r>
      <w:r w:rsidRPr="005C5FA0">
        <w:rPr>
          <w:rFonts w:ascii="Verdana" w:eastAsia="Calibri" w:hAnsi="Verdana" w:cs="Times New Roman"/>
        </w:rPr>
        <w:t>ocumentation of the business/public purpose (for meal charges, observe that the documentation includes the names of those individuals participating) and other documentation required by Written Policies and Procedures procedure #1A(vii);</w:t>
      </w:r>
      <w:r w:rsidR="002B3646">
        <w:rPr>
          <w:rFonts w:ascii="Verdana" w:eastAsia="Calibri" w:hAnsi="Verdana" w:cs="Times New Roman"/>
        </w:rPr>
        <w:t xml:space="preserve"> and</w:t>
      </w:r>
    </w:p>
    <w:p w14:paraId="637196F1" w14:textId="5D941170" w:rsidR="003878EF" w:rsidRPr="005C5FA0" w:rsidRDefault="003878EF" w:rsidP="003878EF">
      <w:pPr>
        <w:numPr>
          <w:ilvl w:val="0"/>
          <w:numId w:val="65"/>
        </w:numPr>
        <w:tabs>
          <w:tab w:val="clear" w:pos="936"/>
          <w:tab w:val="num" w:pos="1440"/>
        </w:tabs>
        <w:spacing w:before="120" w:after="0" w:line="240" w:lineRule="auto"/>
        <w:ind w:left="1350" w:hanging="630"/>
        <w:jc w:val="both"/>
        <w:rPr>
          <w:rFonts w:ascii="Verdana" w:hAnsi="Verdana" w:cs="Times New Roman"/>
        </w:rPr>
      </w:pPr>
      <w:r w:rsidRPr="005C5FA0">
        <w:rPr>
          <w:rFonts w:ascii="Verdana" w:hAnsi="Verdana" w:cs="Times New Roman"/>
        </w:rPr>
        <w:t>Observe that each reimbursement was reviewed and approved, in writing, by someone other than the person receiving reimbursement</w:t>
      </w:r>
      <w:r w:rsidR="002B3646">
        <w:rPr>
          <w:rFonts w:ascii="Verdana" w:hAnsi="Verdana" w:cs="Times New Roman"/>
        </w:rPr>
        <w:t>.</w:t>
      </w:r>
    </w:p>
    <w:p w14:paraId="3D3A2FA0" w14:textId="77777777" w:rsidR="003878EF" w:rsidRPr="005C5FA0" w:rsidRDefault="003878EF" w:rsidP="00D103DE">
      <w:pPr>
        <w:spacing w:after="120" w:line="240" w:lineRule="auto"/>
        <w:jc w:val="both"/>
        <w:rPr>
          <w:rFonts w:ascii="Verdana" w:eastAsia="Calibri" w:hAnsi="Verdana" w:cs="Times New Roman"/>
        </w:rPr>
      </w:pPr>
    </w:p>
    <w:p w14:paraId="775C2F83" w14:textId="77777777" w:rsidR="00C5660E" w:rsidRPr="005C5FA0" w:rsidRDefault="00C5660E" w:rsidP="00C5660E">
      <w:pPr>
        <w:spacing w:after="0" w:line="240" w:lineRule="auto"/>
        <w:rPr>
          <w:rFonts w:ascii="Verdana" w:eastAsia="Times New Roman" w:hAnsi="Verdana" w:cs="Times New Roman"/>
          <w:b/>
          <w:i/>
        </w:rPr>
      </w:pPr>
    </w:p>
    <w:p w14:paraId="2697BB17" w14:textId="77777777" w:rsidR="00C5660E" w:rsidRPr="005C5FA0"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29" w:name="CONTRACTS"/>
      <w:r w:rsidRPr="005C5FA0">
        <w:rPr>
          <w:rFonts w:ascii="Verdana" w:hAnsi="Verdana"/>
          <w:b/>
          <w:i/>
          <w:color w:val="000000"/>
          <w:sz w:val="22"/>
          <w:szCs w:val="22"/>
        </w:rPr>
        <w:t>Contracts</w:t>
      </w:r>
    </w:p>
    <w:bookmarkEnd w:id="29"/>
    <w:p w14:paraId="25F116A2" w14:textId="77777777" w:rsidR="00C5660E" w:rsidRPr="005C5FA0" w:rsidRDefault="00C5660E" w:rsidP="00C5660E">
      <w:pPr>
        <w:spacing w:after="0" w:line="240" w:lineRule="auto"/>
        <w:rPr>
          <w:rFonts w:ascii="Verdana" w:eastAsia="Times New Roman" w:hAnsi="Verdana" w:cs="Times New Roman"/>
        </w:rPr>
      </w:pPr>
    </w:p>
    <w:p w14:paraId="2CFDFDF3" w14:textId="77777777" w:rsidR="00C5660E" w:rsidRPr="005C5FA0" w:rsidRDefault="00C5660E" w:rsidP="00A222BF">
      <w:pPr>
        <w:numPr>
          <w:ilvl w:val="0"/>
          <w:numId w:val="56"/>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 xml:space="preserve">Obtain from management a listing of all agreements/contracts for professional services, materials and supplies, leases, and construction activities that were initiated or renewed during the fiscal period.  </w:t>
      </w:r>
      <w:r w:rsidRPr="005C5FA0">
        <w:rPr>
          <w:rFonts w:ascii="Verdana" w:eastAsia="Calibri" w:hAnsi="Verdana" w:cs="Times New Roman"/>
          <w:i/>
        </w:rPr>
        <w:t>Alternatively, the practitioner may use an equivalent selection source, such as an active vendor list.</w:t>
      </w:r>
      <w:r w:rsidRPr="005C5FA0">
        <w:rPr>
          <w:rFonts w:ascii="Verdana" w:eastAsia="Calibri" w:hAnsi="Verdana" w:cs="Times New Roman"/>
        </w:rPr>
        <w:t xml:space="preserve">  Obtain management’s representation that the listing is complete.  Randomly select 5 contracts (or all contracts if less than 5) from the listing, </w:t>
      </w:r>
      <w:r w:rsidRPr="005C5FA0">
        <w:rPr>
          <w:rFonts w:ascii="Verdana" w:eastAsia="Calibri" w:hAnsi="Verdana" w:cs="Times New Roman"/>
          <w:u w:val="single"/>
        </w:rPr>
        <w:t>excluding the practitioner’s contract</w:t>
      </w:r>
      <w:r w:rsidRPr="005C5FA0">
        <w:rPr>
          <w:rFonts w:ascii="Verdana" w:eastAsia="Calibri" w:hAnsi="Verdana" w:cs="Times New Roman"/>
        </w:rPr>
        <w:t>, and</w:t>
      </w:r>
    </w:p>
    <w:p w14:paraId="2704167D" w14:textId="77777777" w:rsidR="00C5660E" w:rsidRPr="005C5FA0" w:rsidRDefault="00C5660E" w:rsidP="00A222BF">
      <w:pPr>
        <w:numPr>
          <w:ilvl w:val="0"/>
          <w:numId w:val="66"/>
        </w:numPr>
        <w:tabs>
          <w:tab w:val="clear" w:pos="936"/>
          <w:tab w:val="num" w:pos="1440"/>
        </w:tabs>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Observe whether the contract was bid in accordance with the Louisiana Public Bid Law</w:t>
      </w:r>
      <w:r w:rsidRPr="005C5FA0">
        <w:rPr>
          <w:rStyle w:val="FootnoteReference"/>
          <w:rFonts w:ascii="Verdana" w:eastAsia="Times New Roman" w:hAnsi="Verdana" w:cs="Times New Roman"/>
        </w:rPr>
        <w:footnoteReference w:id="20"/>
      </w:r>
      <w:r w:rsidRPr="005C5FA0">
        <w:rPr>
          <w:rFonts w:ascii="Verdana" w:eastAsia="Times New Roman" w:hAnsi="Verdana" w:cs="Times New Roman"/>
        </w:rPr>
        <w:t xml:space="preserve"> (e.g., solicited quotes or bids, advertised), if required by law;</w:t>
      </w:r>
    </w:p>
    <w:p w14:paraId="62DF90A0" w14:textId="77777777" w:rsidR="00C5660E" w:rsidRPr="005C5FA0" w:rsidRDefault="00C5660E" w:rsidP="00A222BF">
      <w:pPr>
        <w:numPr>
          <w:ilvl w:val="0"/>
          <w:numId w:val="66"/>
        </w:numPr>
        <w:tabs>
          <w:tab w:val="clear" w:pos="936"/>
          <w:tab w:val="left" w:pos="360"/>
          <w:tab w:val="num" w:pos="1440"/>
        </w:tabs>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lastRenderedPageBreak/>
        <w:t>Observe whether the contract was approved by the governing body/board, if required by policy or law (e.g., Lawrason Act, Home Rule Charter);</w:t>
      </w:r>
    </w:p>
    <w:p w14:paraId="35BC3473" w14:textId="77777777" w:rsidR="00C5660E" w:rsidRPr="005C5FA0" w:rsidRDefault="00C5660E" w:rsidP="00A222BF">
      <w:pPr>
        <w:numPr>
          <w:ilvl w:val="0"/>
          <w:numId w:val="66"/>
        </w:numPr>
        <w:tabs>
          <w:tab w:val="clear" w:pos="936"/>
          <w:tab w:val="left" w:pos="360"/>
          <w:tab w:val="num" w:pos="1440"/>
        </w:tabs>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If the contract was amended (e.g., change order), observe that the original contract terms provided for such an amendment and that amendments were made in compliance with the contract terms (e.g., if approval is required for any amendment, the documented approval); and</w:t>
      </w:r>
    </w:p>
    <w:p w14:paraId="1034EFF4" w14:textId="77777777" w:rsidR="00C5660E" w:rsidRPr="005C5FA0" w:rsidRDefault="00C5660E" w:rsidP="00A222BF">
      <w:pPr>
        <w:numPr>
          <w:ilvl w:val="0"/>
          <w:numId w:val="66"/>
        </w:numPr>
        <w:tabs>
          <w:tab w:val="clear" w:pos="936"/>
          <w:tab w:val="left" w:pos="360"/>
          <w:tab w:val="num" w:pos="1440"/>
        </w:tabs>
        <w:spacing w:before="120" w:after="0" w:line="240" w:lineRule="auto"/>
        <w:ind w:left="1440" w:hanging="720"/>
        <w:jc w:val="both"/>
        <w:rPr>
          <w:rFonts w:ascii="Verdana" w:eastAsia="Times New Roman" w:hAnsi="Verdana" w:cs="Times New Roman"/>
        </w:rPr>
      </w:pPr>
      <w:r w:rsidRPr="005C5FA0">
        <w:rPr>
          <w:rFonts w:ascii="Verdana" w:eastAsia="Times New Roman" w:hAnsi="Verdana" w:cs="Times New Roman"/>
        </w:rPr>
        <w:t>Randomly select one payment from the fiscal period for each of the 5 contracts, obtain the supporting invoice, agree the invoice to the contract terms, and observe that the invoice and related payment agreed to the terms and conditions of the contract.</w:t>
      </w:r>
    </w:p>
    <w:p w14:paraId="59E624C1" w14:textId="77777777" w:rsidR="00C5660E" w:rsidRPr="005C5FA0" w:rsidRDefault="00C5660E" w:rsidP="00C5660E">
      <w:pPr>
        <w:tabs>
          <w:tab w:val="left" w:pos="360"/>
        </w:tabs>
        <w:spacing w:after="0" w:line="240" w:lineRule="auto"/>
        <w:rPr>
          <w:rFonts w:ascii="Verdana" w:eastAsia="Times New Roman" w:hAnsi="Verdana" w:cs="Times New Roman"/>
        </w:rPr>
      </w:pPr>
    </w:p>
    <w:p w14:paraId="6D1CD408" w14:textId="77777777" w:rsidR="00C5660E" w:rsidRPr="005C5FA0"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30" w:name="PAYROLL_PERSONNEL"/>
      <w:r w:rsidRPr="005C5FA0">
        <w:rPr>
          <w:rFonts w:ascii="Verdana" w:hAnsi="Verdana"/>
          <w:b/>
          <w:i/>
          <w:color w:val="000000"/>
          <w:sz w:val="22"/>
          <w:szCs w:val="22"/>
        </w:rPr>
        <w:t>Payroll and Personnel</w:t>
      </w:r>
    </w:p>
    <w:bookmarkEnd w:id="30"/>
    <w:p w14:paraId="05FF2188" w14:textId="77777777" w:rsidR="00C5660E" w:rsidRPr="005C5FA0" w:rsidRDefault="00C5660E" w:rsidP="00C5660E">
      <w:pPr>
        <w:spacing w:after="0" w:line="240" w:lineRule="auto"/>
        <w:jc w:val="both"/>
        <w:rPr>
          <w:rFonts w:ascii="Verdana" w:eastAsia="Times New Roman" w:hAnsi="Verdana" w:cs="Times New Roman"/>
        </w:rPr>
      </w:pPr>
    </w:p>
    <w:p w14:paraId="27B6242B" w14:textId="5E52C60C" w:rsidR="00C5660E" w:rsidRPr="005C5FA0"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a listing of employees and officials</w:t>
      </w:r>
      <w:r w:rsidRPr="005C5FA0">
        <w:rPr>
          <w:rStyle w:val="FootnoteReference"/>
          <w:rFonts w:ascii="Verdana" w:eastAsia="Calibri" w:hAnsi="Verdana" w:cs="Times New Roman"/>
        </w:rPr>
        <w:footnoteReference w:id="21"/>
      </w:r>
      <w:r w:rsidRPr="005C5FA0">
        <w:rPr>
          <w:rFonts w:ascii="Verdana" w:eastAsia="Calibri" w:hAnsi="Verdana" w:cs="Times New Roman"/>
        </w:rPr>
        <w:t xml:space="preserve"> employed during the fiscal period and management’s representation that the listing is complete.  Randomly select 5 employees or officials, obtain related paid salaries and personnel files, and agree paid salaries to authorized salaries/pay rates in the personnel files. </w:t>
      </w:r>
    </w:p>
    <w:p w14:paraId="11963D39" w14:textId="77777777" w:rsidR="00C5660E" w:rsidRPr="005C5FA0"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Randomly select one pay period during the fiscal period.  For the 5 employees or officials selected under procedure #9A above, obtain attendance records and leave documentation for the pay period, and</w:t>
      </w:r>
    </w:p>
    <w:p w14:paraId="4BB75EA4" w14:textId="77777777" w:rsidR="00C5660E" w:rsidRPr="005C5FA0" w:rsidRDefault="00C5660E" w:rsidP="00A222BF">
      <w:pPr>
        <w:numPr>
          <w:ilvl w:val="0"/>
          <w:numId w:val="67"/>
        </w:numPr>
        <w:tabs>
          <w:tab w:val="clear" w:pos="936"/>
          <w:tab w:val="left" w:pos="360"/>
          <w:tab w:val="num" w:pos="1440"/>
        </w:tabs>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Observe that all selected employees or officials</w:t>
      </w:r>
      <w:r w:rsidRPr="005C5FA0">
        <w:rPr>
          <w:rStyle w:val="FootnoteReference"/>
          <w:rFonts w:ascii="Verdana" w:eastAsia="Times New Roman" w:hAnsi="Verdana" w:cs="Times New Roman"/>
        </w:rPr>
        <w:footnoteReference w:id="22"/>
      </w:r>
      <w:r w:rsidRPr="005C5FA0">
        <w:rPr>
          <w:rFonts w:ascii="Verdana" w:eastAsia="Times New Roman" w:hAnsi="Verdana" w:cs="Times New Roman"/>
          <w:vertAlign w:val="superscript"/>
        </w:rPr>
        <w:t xml:space="preserve"> </w:t>
      </w:r>
      <w:r w:rsidRPr="005C5FA0">
        <w:rPr>
          <w:rFonts w:ascii="Verdana" w:eastAsia="Times New Roman" w:hAnsi="Verdana" w:cs="Times New Roman"/>
        </w:rPr>
        <w:t>documented their daily attendance and leave (e.g., vacation, sick, compensatory);</w:t>
      </w:r>
    </w:p>
    <w:p w14:paraId="54B6967D" w14:textId="77777777" w:rsidR="00C5660E" w:rsidRPr="005C5FA0" w:rsidRDefault="00C5660E" w:rsidP="00A222BF">
      <w:pPr>
        <w:numPr>
          <w:ilvl w:val="0"/>
          <w:numId w:val="67"/>
        </w:numPr>
        <w:tabs>
          <w:tab w:val="clear" w:pos="936"/>
          <w:tab w:val="num" w:pos="1440"/>
        </w:tabs>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Observe whether supervisors approved the attendance and leave of the selected employees or officials;</w:t>
      </w:r>
    </w:p>
    <w:p w14:paraId="7BB81C3D" w14:textId="77777777" w:rsidR="00C5660E" w:rsidRPr="005C5FA0" w:rsidRDefault="00C5660E" w:rsidP="00A222BF">
      <w:pPr>
        <w:numPr>
          <w:ilvl w:val="0"/>
          <w:numId w:val="67"/>
        </w:numPr>
        <w:tabs>
          <w:tab w:val="clear" w:pos="936"/>
          <w:tab w:val="num" w:pos="1440"/>
        </w:tabs>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Observe that any leave accrued or taken during the pay period is reflected in the entity’s cumulative leave records; and</w:t>
      </w:r>
    </w:p>
    <w:p w14:paraId="61204067" w14:textId="77777777" w:rsidR="00C5660E" w:rsidRPr="005C5FA0" w:rsidRDefault="00C5660E" w:rsidP="00A222BF">
      <w:pPr>
        <w:numPr>
          <w:ilvl w:val="0"/>
          <w:numId w:val="67"/>
        </w:numPr>
        <w:tabs>
          <w:tab w:val="clear" w:pos="936"/>
          <w:tab w:val="num" w:pos="1440"/>
        </w:tabs>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 xml:space="preserve">Observe the rate paid to the employees or officials agrees to the authorized salary/pay rate found within the personnel file. </w:t>
      </w:r>
    </w:p>
    <w:p w14:paraId="2D538D28" w14:textId="063E0044" w:rsidR="00C5660E" w:rsidRPr="005C5FA0"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 xml:space="preserve">Obtain a listing of those employees or officials that received termination payments during the fiscal period and management’s representation that the list is complete. Randomly select two employees or officials and obtain related documentation of the hours and pay rates used in management’s termination payment calculations and the entity’s policy on termination payments. Agree the hours to the employee’s or official’s cumulative leave records, agree the pay rates to the employee’s or official’s authorized pay rates in the employee’s or official’s personnel files, and agree the termination payment to entity policy. </w:t>
      </w:r>
    </w:p>
    <w:p w14:paraId="795AF3EC" w14:textId="77777777" w:rsidR="00C5660E" w:rsidRPr="005C5FA0" w:rsidRDefault="00C5660E" w:rsidP="00A222BF">
      <w:pPr>
        <w:numPr>
          <w:ilvl w:val="0"/>
          <w:numId w:val="57"/>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lastRenderedPageBreak/>
        <w:t>Obtain management’s representation that employer and employee portions of third-party payroll related amounts (e.g., payroll taxes, retirement contributions, health insurance premiums, garnishments, workers’ compensation premiums, etc.) have been paid, and any associated forms have been filed, by required deadlines.</w:t>
      </w:r>
    </w:p>
    <w:p w14:paraId="314C8E03" w14:textId="77777777" w:rsidR="00C5660E" w:rsidRPr="005C5FA0" w:rsidRDefault="00C5660E" w:rsidP="00C5660E">
      <w:pPr>
        <w:spacing w:after="0" w:line="240" w:lineRule="auto"/>
        <w:jc w:val="both"/>
        <w:rPr>
          <w:rFonts w:ascii="Verdana" w:eastAsia="Times New Roman" w:hAnsi="Verdana" w:cs="Times New Roman"/>
        </w:rPr>
      </w:pPr>
    </w:p>
    <w:p w14:paraId="60F0C482" w14:textId="77777777" w:rsidR="00C5660E" w:rsidRPr="005C5FA0" w:rsidRDefault="00C5660E" w:rsidP="00C5660E">
      <w:pPr>
        <w:pStyle w:val="ListParagraph"/>
        <w:numPr>
          <w:ilvl w:val="0"/>
          <w:numId w:val="50"/>
        </w:numPr>
        <w:pBdr>
          <w:bottom w:val="single" w:sz="4" w:space="1" w:color="auto"/>
        </w:pBdr>
        <w:rPr>
          <w:rFonts w:ascii="Verdana" w:eastAsia="Calibri" w:hAnsi="Verdana"/>
          <w:b/>
          <w:sz w:val="22"/>
          <w:szCs w:val="22"/>
        </w:rPr>
      </w:pPr>
      <w:bookmarkStart w:id="31" w:name="ETHICS"/>
      <w:r w:rsidRPr="005C5FA0">
        <w:rPr>
          <w:rFonts w:ascii="Verdana" w:eastAsia="Calibri" w:hAnsi="Verdana"/>
          <w:b/>
          <w:i/>
          <w:sz w:val="22"/>
          <w:szCs w:val="22"/>
        </w:rPr>
        <w:t>Ethics</w:t>
      </w:r>
      <w:bookmarkEnd w:id="31"/>
      <w:r w:rsidRPr="005C5FA0">
        <w:rPr>
          <w:rStyle w:val="FootnoteReference"/>
          <w:rFonts w:ascii="Verdana" w:eastAsia="Calibri" w:hAnsi="Verdana"/>
          <w:b/>
          <w:i/>
          <w:sz w:val="22"/>
          <w:szCs w:val="22"/>
        </w:rPr>
        <w:footnoteReference w:id="23"/>
      </w:r>
    </w:p>
    <w:p w14:paraId="0FAF8AA4" w14:textId="77777777" w:rsidR="00C5660E" w:rsidRPr="005C5FA0" w:rsidRDefault="00C5660E" w:rsidP="00C5660E">
      <w:pPr>
        <w:spacing w:after="0"/>
        <w:rPr>
          <w:rFonts w:ascii="Verdana" w:eastAsia="Calibri" w:hAnsi="Verdana" w:cs="Times New Roman"/>
        </w:rPr>
      </w:pPr>
    </w:p>
    <w:p w14:paraId="5C668021" w14:textId="77777777" w:rsidR="00C5660E" w:rsidRPr="005C5FA0" w:rsidRDefault="00C5660E" w:rsidP="00A222BF">
      <w:pPr>
        <w:numPr>
          <w:ilvl w:val="0"/>
          <w:numId w:val="58"/>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Using the 5 randomly selected employees/officials from Payroll and Personnel procedure #9A obtain ethics documentation from management, and</w:t>
      </w:r>
    </w:p>
    <w:p w14:paraId="634E67EC" w14:textId="16B53B04" w:rsidR="00C5660E" w:rsidRPr="005C5FA0" w:rsidRDefault="00C5660E" w:rsidP="00A222BF">
      <w:pPr>
        <w:numPr>
          <w:ilvl w:val="1"/>
          <w:numId w:val="32"/>
        </w:numPr>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 xml:space="preserve">Observe whether the documentation demonstrates that each employee/official completed one hour of ethics training during the </w:t>
      </w:r>
      <w:r w:rsidR="007B2B9C" w:rsidRPr="005C5FA0">
        <w:rPr>
          <w:rFonts w:ascii="Verdana" w:eastAsia="Times New Roman" w:hAnsi="Verdana" w:cs="Times New Roman"/>
        </w:rPr>
        <w:t>calendar year</w:t>
      </w:r>
      <w:r w:rsidRPr="005C5FA0">
        <w:rPr>
          <w:rFonts w:ascii="Verdana" w:eastAsia="Times New Roman" w:hAnsi="Verdana" w:cs="Times New Roman"/>
        </w:rPr>
        <w:t xml:space="preserve"> as required by R.S. 42:1170</w:t>
      </w:r>
      <w:r w:rsidR="002B3646">
        <w:rPr>
          <w:rFonts w:ascii="Verdana" w:eastAsia="Times New Roman" w:hAnsi="Verdana" w:cs="Times New Roman"/>
        </w:rPr>
        <w:t>; and</w:t>
      </w:r>
    </w:p>
    <w:p w14:paraId="51F5C531" w14:textId="77777777" w:rsidR="00C5660E" w:rsidRPr="005C5FA0" w:rsidRDefault="00C5660E" w:rsidP="00A222BF">
      <w:pPr>
        <w:numPr>
          <w:ilvl w:val="1"/>
          <w:numId w:val="32"/>
        </w:numPr>
        <w:spacing w:after="120" w:line="240" w:lineRule="auto"/>
        <w:ind w:left="1440" w:hanging="720"/>
        <w:jc w:val="both"/>
        <w:rPr>
          <w:rFonts w:ascii="Verdana" w:eastAsia="Times New Roman" w:hAnsi="Verdana" w:cs="Times New Roman"/>
        </w:rPr>
      </w:pPr>
      <w:r w:rsidRPr="005C5FA0">
        <w:rPr>
          <w:rFonts w:ascii="Verdana" w:eastAsia="Times New Roman" w:hAnsi="Verdana" w:cs="Times New Roman"/>
        </w:rPr>
        <w:t>Observe whether the entity maintains documentation which demonstrates that each employee and official were notified of any changes to the entity’s ethics policy during the fiscal period, as applicable.</w:t>
      </w:r>
    </w:p>
    <w:p w14:paraId="5C9AB753" w14:textId="77777777" w:rsidR="00C5660E" w:rsidRPr="00F21EFA" w:rsidRDefault="00C5660E" w:rsidP="00A222BF">
      <w:pPr>
        <w:numPr>
          <w:ilvl w:val="0"/>
          <w:numId w:val="32"/>
        </w:numPr>
        <w:tabs>
          <w:tab w:val="clear" w:pos="360"/>
          <w:tab w:val="num" w:pos="720"/>
        </w:tabs>
        <w:spacing w:after="120" w:line="240" w:lineRule="auto"/>
        <w:ind w:left="720" w:hanging="720"/>
        <w:jc w:val="both"/>
        <w:rPr>
          <w:rFonts w:ascii="Verdana" w:eastAsia="Times New Roman" w:hAnsi="Verdana" w:cs="Times New Roman"/>
        </w:rPr>
      </w:pPr>
      <w:r w:rsidRPr="00F21EFA">
        <w:rPr>
          <w:rFonts w:ascii="Verdana" w:eastAsia="Times New Roman" w:hAnsi="Verdana" w:cs="Times New Roman"/>
        </w:rPr>
        <w:t>Inquire and/or observe whether the agency has appointed an ethics designee as required by R.S. 42:1170.</w:t>
      </w:r>
    </w:p>
    <w:p w14:paraId="3677D2C7" w14:textId="77777777" w:rsidR="00C5660E" w:rsidRPr="005C5FA0" w:rsidRDefault="00C5660E" w:rsidP="00C5660E">
      <w:pPr>
        <w:spacing w:after="0" w:line="240" w:lineRule="auto"/>
        <w:jc w:val="both"/>
        <w:rPr>
          <w:rFonts w:ascii="Verdana" w:eastAsia="Times New Roman" w:hAnsi="Verdana" w:cs="Times New Roman"/>
        </w:rPr>
      </w:pPr>
    </w:p>
    <w:p w14:paraId="2DDDFE27" w14:textId="77777777" w:rsidR="00C5660E" w:rsidRPr="005C5FA0"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32" w:name="DEBT_SERVICE"/>
      <w:r w:rsidRPr="005C5FA0">
        <w:rPr>
          <w:rFonts w:ascii="Verdana" w:hAnsi="Verdana"/>
          <w:b/>
          <w:i/>
          <w:color w:val="000000"/>
          <w:sz w:val="22"/>
          <w:szCs w:val="22"/>
        </w:rPr>
        <w:t>Debt Service</w:t>
      </w:r>
      <w:bookmarkEnd w:id="32"/>
      <w:r w:rsidRPr="005C5FA0">
        <w:rPr>
          <w:rStyle w:val="FootnoteReference"/>
          <w:rFonts w:ascii="Verdana" w:hAnsi="Verdana"/>
          <w:b/>
          <w:i/>
          <w:color w:val="000000"/>
          <w:sz w:val="22"/>
          <w:szCs w:val="22"/>
        </w:rPr>
        <w:footnoteReference w:id="24"/>
      </w:r>
    </w:p>
    <w:p w14:paraId="386BDA30" w14:textId="77777777" w:rsidR="00C5660E" w:rsidRPr="005C5FA0" w:rsidRDefault="00C5660E" w:rsidP="00C5660E">
      <w:pPr>
        <w:spacing w:after="0" w:line="240" w:lineRule="auto"/>
        <w:jc w:val="both"/>
        <w:rPr>
          <w:rFonts w:ascii="Verdana" w:eastAsia="Times New Roman" w:hAnsi="Verdana" w:cs="Times New Roman"/>
        </w:rPr>
      </w:pPr>
    </w:p>
    <w:p w14:paraId="1C9E29DF" w14:textId="77777777" w:rsidR="00C5660E" w:rsidRPr="005C5FA0" w:rsidRDefault="00C5660E" w:rsidP="00A222BF">
      <w:pPr>
        <w:numPr>
          <w:ilvl w:val="0"/>
          <w:numId w:val="69"/>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a listing of bonds/notes and other debt instruments issued during the fiscal period and management’s representation that the listing is complete.  Select all debt instruments on the listing, obtain supporting documentation, and observe that State Bond Commission approval was obtained for each debt instrument issued as required by Article VII, Section 8 of the Louisiana Constitution.</w:t>
      </w:r>
    </w:p>
    <w:p w14:paraId="7AB91FF5" w14:textId="77777777" w:rsidR="00C5660E" w:rsidRPr="005C5FA0" w:rsidRDefault="00C5660E" w:rsidP="00A222BF">
      <w:pPr>
        <w:numPr>
          <w:ilvl w:val="0"/>
          <w:numId w:val="69"/>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a listing of bonds/notes outstanding at the end of the fiscal period and management’s representation that the listing is complete.  Randomly select one bond/note, inspect debt covenants, obtain supporting documentation for the reserve balance and payments, and agree actual reserve balances and payments to those required by debt covenants (including contingency funds, short-lived asset funds, or other funds required by the debt covenants).</w:t>
      </w:r>
    </w:p>
    <w:p w14:paraId="2B0BF2F1" w14:textId="52FB08DF" w:rsidR="00C5660E" w:rsidRPr="005C5FA0" w:rsidRDefault="00C5660E" w:rsidP="00C5660E">
      <w:pPr>
        <w:spacing w:after="0" w:line="240" w:lineRule="auto"/>
        <w:ind w:left="720"/>
        <w:jc w:val="both"/>
        <w:rPr>
          <w:rFonts w:ascii="Verdana" w:hAnsi="Verdana" w:cs="Times New Roman"/>
        </w:rPr>
      </w:pPr>
    </w:p>
    <w:p w14:paraId="0390419C" w14:textId="5031B50B" w:rsidR="006418D2" w:rsidRPr="005C5FA0" w:rsidRDefault="006418D2" w:rsidP="00C5660E">
      <w:pPr>
        <w:spacing w:after="0" w:line="240" w:lineRule="auto"/>
        <w:ind w:left="720"/>
        <w:jc w:val="both"/>
        <w:rPr>
          <w:rFonts w:ascii="Verdana" w:hAnsi="Verdana" w:cs="Times New Roman"/>
        </w:rPr>
      </w:pPr>
    </w:p>
    <w:p w14:paraId="1DFB49C1" w14:textId="4C493406" w:rsidR="006418D2" w:rsidRPr="005C5FA0" w:rsidRDefault="006418D2" w:rsidP="00C5660E">
      <w:pPr>
        <w:spacing w:after="0" w:line="240" w:lineRule="auto"/>
        <w:ind w:left="720"/>
        <w:jc w:val="both"/>
        <w:rPr>
          <w:rFonts w:ascii="Verdana" w:hAnsi="Verdana" w:cs="Times New Roman"/>
        </w:rPr>
      </w:pPr>
    </w:p>
    <w:p w14:paraId="2F5DABE3" w14:textId="77777777" w:rsidR="006418D2" w:rsidRPr="005C5FA0" w:rsidRDefault="006418D2" w:rsidP="00C5660E">
      <w:pPr>
        <w:spacing w:after="0" w:line="240" w:lineRule="auto"/>
        <w:ind w:left="720"/>
        <w:jc w:val="both"/>
        <w:rPr>
          <w:rFonts w:ascii="Verdana" w:hAnsi="Verdana" w:cs="Times New Roman"/>
        </w:rPr>
      </w:pPr>
    </w:p>
    <w:p w14:paraId="0473C1A0" w14:textId="77777777" w:rsidR="00C5660E" w:rsidRPr="005C5FA0" w:rsidRDefault="00C5660E" w:rsidP="00C5660E">
      <w:pPr>
        <w:pStyle w:val="ListParagraph"/>
        <w:numPr>
          <w:ilvl w:val="0"/>
          <w:numId w:val="50"/>
        </w:numPr>
        <w:pBdr>
          <w:bottom w:val="single" w:sz="4" w:space="1" w:color="auto"/>
        </w:pBdr>
        <w:rPr>
          <w:rFonts w:ascii="Verdana" w:eastAsia="Calibri" w:hAnsi="Verdana"/>
          <w:b/>
          <w:i/>
          <w:sz w:val="22"/>
          <w:szCs w:val="22"/>
        </w:rPr>
      </w:pPr>
      <w:bookmarkStart w:id="33" w:name="FRAUD_NOTICE"/>
      <w:r w:rsidRPr="005C5FA0">
        <w:rPr>
          <w:rFonts w:ascii="Verdana" w:eastAsia="Calibri" w:hAnsi="Verdana"/>
          <w:b/>
          <w:i/>
          <w:sz w:val="22"/>
          <w:szCs w:val="22"/>
        </w:rPr>
        <w:t>Fraud Notice</w:t>
      </w:r>
      <w:bookmarkEnd w:id="33"/>
      <w:r w:rsidRPr="005C5FA0">
        <w:rPr>
          <w:rStyle w:val="FootnoteReference"/>
          <w:rFonts w:ascii="Verdana" w:eastAsia="Calibri" w:hAnsi="Verdana"/>
          <w:b/>
          <w:i/>
          <w:sz w:val="22"/>
          <w:szCs w:val="22"/>
        </w:rPr>
        <w:footnoteReference w:id="25"/>
      </w:r>
    </w:p>
    <w:p w14:paraId="67D7C1D5" w14:textId="77777777" w:rsidR="00C5660E" w:rsidRPr="005C5FA0" w:rsidRDefault="00C5660E" w:rsidP="00C5660E">
      <w:pPr>
        <w:spacing w:after="0"/>
        <w:rPr>
          <w:rFonts w:ascii="Verdana" w:eastAsia="Calibri" w:hAnsi="Verdana" w:cs="Times New Roman"/>
        </w:rPr>
      </w:pPr>
    </w:p>
    <w:p w14:paraId="5B33F6BF" w14:textId="77777777" w:rsidR="00C5660E" w:rsidRPr="005C5FA0" w:rsidRDefault="00C5660E" w:rsidP="00A222BF">
      <w:pPr>
        <w:numPr>
          <w:ilvl w:val="0"/>
          <w:numId w:val="70"/>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Obtain a listing of misappropriations of public funds and assets during the fiscal period and management’s representation that the listing is complete.  Select all misappropriations on the listing, obtain supporting documentation, and observe that the entity reported the misappropriation(s) to the legislative auditor and the district attorney of the parish in which the entity is domiciled as required by R.S. 24:523.</w:t>
      </w:r>
    </w:p>
    <w:p w14:paraId="738DEC94" w14:textId="77777777" w:rsidR="00C5660E" w:rsidRPr="005C5FA0" w:rsidRDefault="00C5660E" w:rsidP="00A222BF">
      <w:pPr>
        <w:numPr>
          <w:ilvl w:val="0"/>
          <w:numId w:val="70"/>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Observe that the entity has posted, on its premises and website, the notice required by R.S. 24:523.1 concerning the reporting of misappropriation, fraud, waste, or abuse of public funds.</w:t>
      </w:r>
    </w:p>
    <w:p w14:paraId="26B9D8E3" w14:textId="77777777" w:rsidR="00C5660E" w:rsidRPr="005C5FA0" w:rsidRDefault="00C5660E" w:rsidP="00C5660E">
      <w:pPr>
        <w:spacing w:after="120" w:line="240" w:lineRule="auto"/>
        <w:jc w:val="both"/>
        <w:rPr>
          <w:rFonts w:ascii="Verdana" w:eastAsia="Calibri" w:hAnsi="Verdana" w:cs="Times New Roman"/>
        </w:rPr>
      </w:pPr>
    </w:p>
    <w:p w14:paraId="42C23E54" w14:textId="77777777" w:rsidR="00C5660E" w:rsidRPr="005C5FA0" w:rsidRDefault="00C5660E" w:rsidP="00C5660E">
      <w:pPr>
        <w:pStyle w:val="ListParagraph"/>
        <w:numPr>
          <w:ilvl w:val="0"/>
          <w:numId w:val="50"/>
        </w:numPr>
        <w:pBdr>
          <w:bottom w:val="single" w:sz="4" w:space="1" w:color="auto"/>
        </w:pBdr>
        <w:rPr>
          <w:rFonts w:ascii="Verdana" w:hAnsi="Verdana"/>
          <w:b/>
          <w:i/>
          <w:color w:val="000000"/>
          <w:sz w:val="22"/>
          <w:szCs w:val="22"/>
        </w:rPr>
      </w:pPr>
      <w:bookmarkStart w:id="34" w:name="INFORMATION_TECHNOLOGY"/>
      <w:r w:rsidRPr="005C5FA0">
        <w:rPr>
          <w:rFonts w:ascii="Verdana" w:hAnsi="Verdana"/>
          <w:b/>
          <w:i/>
          <w:color w:val="000000"/>
          <w:sz w:val="22"/>
          <w:szCs w:val="22"/>
        </w:rPr>
        <w:t>Information Technology Disaster Recovery/Business Continuity</w:t>
      </w:r>
    </w:p>
    <w:bookmarkEnd w:id="34"/>
    <w:p w14:paraId="30DDE965" w14:textId="77777777" w:rsidR="00C5660E" w:rsidRPr="005C5FA0" w:rsidRDefault="00C5660E" w:rsidP="00C5660E">
      <w:pPr>
        <w:spacing w:after="0" w:line="240" w:lineRule="auto"/>
        <w:rPr>
          <w:rFonts w:ascii="Verdana" w:eastAsia="Times New Roman" w:hAnsi="Verdana" w:cs="Times New Roman"/>
          <w:color w:val="000000"/>
        </w:rPr>
      </w:pPr>
    </w:p>
    <w:p w14:paraId="4C4F891A" w14:textId="77777777" w:rsidR="00C5660E" w:rsidRPr="005C5FA0" w:rsidRDefault="00C5660E" w:rsidP="00A222BF">
      <w:pPr>
        <w:numPr>
          <w:ilvl w:val="0"/>
          <w:numId w:val="59"/>
        </w:numPr>
        <w:tabs>
          <w:tab w:val="clear" w:pos="360"/>
          <w:tab w:val="num" w:pos="720"/>
        </w:tabs>
        <w:spacing w:after="120" w:line="240" w:lineRule="auto"/>
        <w:ind w:left="720" w:hanging="720"/>
        <w:jc w:val="both"/>
        <w:rPr>
          <w:rFonts w:ascii="Verdana" w:eastAsia="Calibri" w:hAnsi="Verdana" w:cs="Times New Roman"/>
        </w:rPr>
      </w:pPr>
      <w:r w:rsidRPr="005C5FA0">
        <w:rPr>
          <w:rFonts w:ascii="Verdana" w:eastAsia="Calibri" w:hAnsi="Verdana" w:cs="Times New Roman"/>
        </w:rPr>
        <w:t xml:space="preserve">Perform the following procedures, </w:t>
      </w:r>
      <w:r w:rsidRPr="005C5FA0">
        <w:rPr>
          <w:rFonts w:ascii="Verdana" w:eastAsia="Calibri" w:hAnsi="Verdana" w:cs="Times New Roman"/>
          <w:b/>
        </w:rPr>
        <w:t>verbally discuss the results with management, and</w:t>
      </w:r>
      <w:r w:rsidRPr="005C5FA0">
        <w:rPr>
          <w:rFonts w:ascii="Verdana" w:eastAsia="Calibri" w:hAnsi="Verdana" w:cs="Times New Roman"/>
        </w:rPr>
        <w:t xml:space="preserve"> </w:t>
      </w:r>
      <w:r w:rsidRPr="005C5FA0">
        <w:rPr>
          <w:rFonts w:ascii="Verdana" w:eastAsia="Calibri" w:hAnsi="Verdana" w:cs="Times New Roman"/>
          <w:b/>
        </w:rPr>
        <w:t>report “We performed the procedure and discussed the results with management.”</w:t>
      </w:r>
    </w:p>
    <w:p w14:paraId="224B9A3E" w14:textId="77777777" w:rsidR="00C5660E" w:rsidRPr="005C5FA0" w:rsidRDefault="00C5660E" w:rsidP="00A222BF">
      <w:pPr>
        <w:numPr>
          <w:ilvl w:val="1"/>
          <w:numId w:val="47"/>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 xml:space="preserve">Obtain and inspect the entity’s most recent documentation that it has backed up its critical data (if there is no written documentation, then inquire of personnel responsible for backing up critical data) and observe evidence that such backup (a) occurred within the past week, </w:t>
      </w:r>
      <w:r w:rsidRPr="00F21EFA">
        <w:rPr>
          <w:rFonts w:ascii="Verdana" w:eastAsia="Times New Roman" w:hAnsi="Verdana" w:cs="Times New Roman"/>
        </w:rPr>
        <w:t>(b) was not stored on the government’s local server or network,</w:t>
      </w:r>
      <w:r w:rsidRPr="005C5FA0">
        <w:rPr>
          <w:rFonts w:ascii="Verdana" w:eastAsia="Times New Roman" w:hAnsi="Verdana" w:cs="Times New Roman"/>
        </w:rPr>
        <w:t xml:space="preserve"> and (c) was encrypted. </w:t>
      </w:r>
    </w:p>
    <w:p w14:paraId="4968F04C" w14:textId="77777777" w:rsidR="00C5660E" w:rsidRPr="005C5FA0" w:rsidRDefault="00C5660E" w:rsidP="00A222BF">
      <w:pPr>
        <w:numPr>
          <w:ilvl w:val="1"/>
          <w:numId w:val="47"/>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Obtain and inspect the entity’s most recent documentation that it has tested/verified that its backups can be restored (if there is no written documentation, then inquire of personnel responsible for testing/verifying backup restoration) and observe evidence that the test/verification was successfully performed within the past 3 months.</w:t>
      </w:r>
    </w:p>
    <w:p w14:paraId="59D78127" w14:textId="77777777" w:rsidR="00C5660E" w:rsidRPr="005C5FA0" w:rsidRDefault="00C5660E" w:rsidP="00A222BF">
      <w:pPr>
        <w:numPr>
          <w:ilvl w:val="1"/>
          <w:numId w:val="47"/>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 xml:space="preserve">Obtain a listing of the entity’s computers currently in use and their related locations, and management’s representation that the listing is complete.  Randomly select 5 computers and observe while management demonstrates that the selected computers have current and active antivirus software and that the operating system and accounting system software in use are currently supported by the vendor. </w:t>
      </w:r>
    </w:p>
    <w:p w14:paraId="3B82A470" w14:textId="1D8DB24F" w:rsidR="00C5660E" w:rsidRPr="00F21EFA" w:rsidRDefault="00447F69" w:rsidP="00A222BF">
      <w:pPr>
        <w:numPr>
          <w:ilvl w:val="0"/>
          <w:numId w:val="59"/>
        </w:numPr>
        <w:tabs>
          <w:tab w:val="clear" w:pos="360"/>
          <w:tab w:val="num" w:pos="720"/>
        </w:tabs>
        <w:spacing w:line="240" w:lineRule="auto"/>
        <w:ind w:left="720" w:hanging="720"/>
        <w:jc w:val="both"/>
        <w:rPr>
          <w:rFonts w:ascii="Verdana" w:eastAsia="Times New Roman" w:hAnsi="Verdana" w:cs="Times New Roman"/>
        </w:rPr>
      </w:pPr>
      <w:r w:rsidRPr="00F21EFA">
        <w:rPr>
          <w:rFonts w:ascii="Verdana" w:eastAsia="Times New Roman" w:hAnsi="Verdana" w:cs="Times New Roman"/>
        </w:rPr>
        <w:t>Randomly select 5 terminated employees (or all terminated employees if less than 5) u</w:t>
      </w:r>
      <w:r w:rsidR="00AB23E0" w:rsidRPr="00F21EFA">
        <w:rPr>
          <w:rFonts w:ascii="Verdana" w:eastAsia="Times New Roman" w:hAnsi="Verdana" w:cs="Times New Roman"/>
        </w:rPr>
        <w:t xml:space="preserve">sing the </w:t>
      </w:r>
      <w:r w:rsidRPr="00F21EFA">
        <w:rPr>
          <w:rFonts w:ascii="Verdana" w:eastAsia="Times New Roman" w:hAnsi="Verdana" w:cs="Times New Roman"/>
        </w:rPr>
        <w:t xml:space="preserve">list of terminated employees obtained in procedure #9C. </w:t>
      </w:r>
      <w:r w:rsidR="00C5660E" w:rsidRPr="00F21EFA">
        <w:rPr>
          <w:rFonts w:ascii="Verdana" w:eastAsia="Times New Roman" w:hAnsi="Verdana" w:cs="Times New Roman"/>
        </w:rPr>
        <w:lastRenderedPageBreak/>
        <w:t xml:space="preserve">Observe evidence that </w:t>
      </w:r>
      <w:r w:rsidRPr="00F21EFA">
        <w:rPr>
          <w:rFonts w:ascii="Verdana" w:eastAsia="Times New Roman" w:hAnsi="Verdana" w:cs="Times New Roman"/>
        </w:rPr>
        <w:t xml:space="preserve">the selected </w:t>
      </w:r>
      <w:r w:rsidR="00C5660E" w:rsidRPr="00F21EFA">
        <w:rPr>
          <w:rFonts w:ascii="Verdana" w:eastAsia="Times New Roman" w:hAnsi="Verdana" w:cs="Times New Roman"/>
        </w:rPr>
        <w:t xml:space="preserve">terminated employees have been removed or disabled from the network. </w:t>
      </w:r>
    </w:p>
    <w:p w14:paraId="62139C2C" w14:textId="498848C6" w:rsidR="00C5660E" w:rsidRPr="005C5FA0" w:rsidRDefault="00C5660E" w:rsidP="00284194">
      <w:pPr>
        <w:pStyle w:val="ListParagraph"/>
        <w:numPr>
          <w:ilvl w:val="0"/>
          <w:numId w:val="50"/>
        </w:numPr>
        <w:pBdr>
          <w:bottom w:val="single" w:sz="4" w:space="1" w:color="auto"/>
        </w:pBdr>
        <w:spacing w:before="240" w:after="360"/>
        <w:rPr>
          <w:rFonts w:ascii="Verdana" w:hAnsi="Verdana"/>
          <w:b/>
          <w:i/>
          <w:color w:val="000000"/>
          <w:sz w:val="22"/>
          <w:szCs w:val="22"/>
        </w:rPr>
      </w:pPr>
      <w:bookmarkStart w:id="35" w:name="PREVENTION_SEXUAL_HARASSMENT"/>
      <w:r w:rsidRPr="00F21EFA">
        <w:rPr>
          <w:rFonts w:ascii="Verdana" w:hAnsi="Verdana"/>
          <w:b/>
          <w:i/>
          <w:color w:val="000000"/>
          <w:sz w:val="22"/>
          <w:szCs w:val="22"/>
        </w:rPr>
        <w:t>Prevention of Sexual Harassment</w:t>
      </w:r>
      <w:bookmarkEnd w:id="35"/>
      <w:r w:rsidRPr="005C5FA0">
        <w:rPr>
          <w:rStyle w:val="FootnoteReference"/>
          <w:rFonts w:ascii="Verdana" w:hAnsi="Verdana"/>
          <w:b/>
          <w:i/>
          <w:color w:val="000000"/>
          <w:sz w:val="22"/>
          <w:szCs w:val="22"/>
        </w:rPr>
        <w:footnoteReference w:id="26"/>
      </w:r>
    </w:p>
    <w:p w14:paraId="366578DD" w14:textId="77777777" w:rsidR="00C5660E" w:rsidRPr="005C5FA0" w:rsidRDefault="00C5660E" w:rsidP="00A222BF">
      <w:pPr>
        <w:numPr>
          <w:ilvl w:val="0"/>
          <w:numId w:val="48"/>
        </w:numPr>
        <w:tabs>
          <w:tab w:val="clear" w:pos="360"/>
          <w:tab w:val="num" w:pos="720"/>
        </w:tabs>
        <w:spacing w:line="240" w:lineRule="auto"/>
        <w:ind w:left="720" w:hanging="720"/>
        <w:jc w:val="both"/>
        <w:rPr>
          <w:rFonts w:ascii="Verdana" w:eastAsia="Times New Roman" w:hAnsi="Verdana" w:cs="Times New Roman"/>
        </w:rPr>
      </w:pPr>
      <w:r w:rsidRPr="005C5FA0">
        <w:rPr>
          <w:rFonts w:ascii="Verdana" w:eastAsia="Times New Roman" w:hAnsi="Verdana" w:cs="Times New Roman"/>
        </w:rPr>
        <w:t>Using the 5 randomly selected employees/officials from Payroll and Personnel procedure #9A, obtain sexual harassment training documentation from management, and observe that the documentation demonstrates each employee/official completed at least one hour of sexual harassment training during the calendar year as required by R.S. 42:343.</w:t>
      </w:r>
    </w:p>
    <w:p w14:paraId="6DDA9119" w14:textId="77777777" w:rsidR="00C5660E" w:rsidRPr="005C5FA0" w:rsidRDefault="00C5660E" w:rsidP="00A222BF">
      <w:pPr>
        <w:numPr>
          <w:ilvl w:val="0"/>
          <w:numId w:val="48"/>
        </w:numPr>
        <w:tabs>
          <w:tab w:val="clear" w:pos="360"/>
          <w:tab w:val="num" w:pos="720"/>
        </w:tabs>
        <w:spacing w:line="240" w:lineRule="auto"/>
        <w:ind w:left="720" w:hanging="720"/>
        <w:jc w:val="both"/>
        <w:rPr>
          <w:rFonts w:ascii="Verdana" w:eastAsia="Times New Roman" w:hAnsi="Verdana" w:cs="Times New Roman"/>
        </w:rPr>
      </w:pPr>
      <w:r w:rsidRPr="005C5FA0">
        <w:rPr>
          <w:rFonts w:ascii="Verdana" w:eastAsia="Times New Roman" w:hAnsi="Verdana" w:cs="Times New Roman"/>
        </w:rPr>
        <w:t>Observe that the entity has posted its sexual harassment policy and complaint procedure on its website (or in a conspicuous location on the entity’s premises if the entity does not have a website).</w:t>
      </w:r>
    </w:p>
    <w:p w14:paraId="74FD4B9D" w14:textId="77777777" w:rsidR="00C5660E" w:rsidRPr="005C5FA0" w:rsidRDefault="00C5660E" w:rsidP="00A222BF">
      <w:pPr>
        <w:numPr>
          <w:ilvl w:val="0"/>
          <w:numId w:val="48"/>
        </w:numPr>
        <w:tabs>
          <w:tab w:val="clear" w:pos="360"/>
          <w:tab w:val="num" w:pos="720"/>
        </w:tabs>
        <w:spacing w:line="240" w:lineRule="auto"/>
        <w:ind w:left="720" w:hanging="720"/>
        <w:jc w:val="both"/>
        <w:rPr>
          <w:rFonts w:ascii="Verdana" w:eastAsia="Times New Roman" w:hAnsi="Verdana" w:cs="Times New Roman"/>
        </w:rPr>
      </w:pPr>
      <w:r w:rsidRPr="005C5FA0">
        <w:rPr>
          <w:rFonts w:ascii="Verdana" w:eastAsia="Times New Roman" w:hAnsi="Verdana" w:cs="Times New Roman"/>
        </w:rPr>
        <w:t>Obtain the entity’s annual sexual harassment report for the current fiscal period, observe that the report was dated on or before February 1, and observe that the report includes the applicable requirements of R.S. 42:344:</w:t>
      </w:r>
    </w:p>
    <w:p w14:paraId="344AB6A7" w14:textId="77777777" w:rsidR="00C5660E" w:rsidRPr="005C5FA0"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Number and percentage of public servants in the agency who have completed the training requirements;</w:t>
      </w:r>
    </w:p>
    <w:p w14:paraId="314DFECF" w14:textId="77777777" w:rsidR="00C5660E" w:rsidRPr="005C5FA0"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Number of sexual harassment complaints received by the agency;</w:t>
      </w:r>
    </w:p>
    <w:p w14:paraId="18351262" w14:textId="77777777" w:rsidR="00C5660E" w:rsidRPr="005C5FA0"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Number of complaints which resulted in a finding that sexual harassment occurred;</w:t>
      </w:r>
    </w:p>
    <w:p w14:paraId="470F0282" w14:textId="77777777" w:rsidR="00C5660E" w:rsidRPr="005C5FA0"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Number of complaints in which the finding of sexual harassment resulted in discipline or corrective action; and</w:t>
      </w:r>
    </w:p>
    <w:p w14:paraId="25E004F4" w14:textId="77777777" w:rsidR="00C5660E" w:rsidRPr="005C5FA0" w:rsidRDefault="00C5660E" w:rsidP="00A222BF">
      <w:pPr>
        <w:numPr>
          <w:ilvl w:val="0"/>
          <w:numId w:val="68"/>
        </w:numPr>
        <w:tabs>
          <w:tab w:val="clear" w:pos="936"/>
          <w:tab w:val="num" w:pos="1440"/>
        </w:tabs>
        <w:spacing w:line="240" w:lineRule="auto"/>
        <w:ind w:left="1440" w:hanging="720"/>
        <w:jc w:val="both"/>
        <w:rPr>
          <w:rFonts w:ascii="Verdana" w:eastAsia="Times New Roman" w:hAnsi="Verdana" w:cs="Times New Roman"/>
        </w:rPr>
      </w:pPr>
      <w:r w:rsidRPr="005C5FA0">
        <w:rPr>
          <w:rFonts w:ascii="Verdana" w:eastAsia="Times New Roman" w:hAnsi="Verdana" w:cs="Times New Roman"/>
        </w:rPr>
        <w:t>Amount of time it took to resolve each complaint.</w:t>
      </w:r>
    </w:p>
    <w:p w14:paraId="0533FC2B" w14:textId="77777777" w:rsidR="002F2339" w:rsidRPr="00132C52" w:rsidRDefault="002F2339" w:rsidP="002F2339">
      <w:pPr>
        <w:spacing w:after="120" w:line="240" w:lineRule="auto"/>
        <w:jc w:val="both"/>
        <w:rPr>
          <w:rFonts w:ascii="Verdana" w:eastAsia="Calibri" w:hAnsi="Verdana" w:cs="Times New Roman"/>
        </w:rPr>
      </w:pPr>
    </w:p>
    <w:sectPr w:rsidR="002F2339" w:rsidRPr="00132C52" w:rsidSect="00C65C35">
      <w:headerReference w:type="default" r:id="rId17"/>
      <w:pgSz w:w="12240" w:h="15840"/>
      <w:pgMar w:top="1973" w:right="1440" w:bottom="1440" w:left="1440"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31038" w14:textId="77777777" w:rsidR="00C7614E" w:rsidRDefault="00C7614E" w:rsidP="00CD2DF8">
      <w:pPr>
        <w:spacing w:after="0" w:line="240" w:lineRule="auto"/>
      </w:pPr>
      <w:r>
        <w:separator/>
      </w:r>
    </w:p>
  </w:endnote>
  <w:endnote w:type="continuationSeparator" w:id="0">
    <w:p w14:paraId="74474FEA" w14:textId="77777777" w:rsidR="00C7614E" w:rsidRDefault="00C7614E" w:rsidP="00CD2DF8">
      <w:pPr>
        <w:spacing w:after="0" w:line="240" w:lineRule="auto"/>
      </w:pPr>
      <w:r>
        <w:continuationSeparator/>
      </w:r>
    </w:p>
  </w:endnote>
  <w:endnote w:type="continuationNotice" w:id="1">
    <w:p w14:paraId="0163D1BB" w14:textId="77777777" w:rsidR="00C7614E" w:rsidRDefault="00C761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panose1 w:val="020B0504020202020204"/>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D33D" w14:textId="432088BC" w:rsidR="00B110DB" w:rsidRPr="00C72C8C" w:rsidRDefault="00B110DB">
    <w:pPr>
      <w:pStyle w:val="Foo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857910"/>
      <w:docPartObj>
        <w:docPartGallery w:val="Page Numbers (Bottom of Page)"/>
        <w:docPartUnique/>
      </w:docPartObj>
    </w:sdtPr>
    <w:sdtEndPr>
      <w:rPr>
        <w:rFonts w:ascii="Verdana" w:hAnsi="Verdana"/>
        <w:color w:val="808080" w:themeColor="background1" w:themeShade="80"/>
        <w:spacing w:val="60"/>
      </w:rPr>
    </w:sdtEndPr>
    <w:sdtContent>
      <w:p w14:paraId="0BB07F13" w14:textId="77777777" w:rsidR="00B110DB" w:rsidRPr="00C65C35" w:rsidRDefault="00B110DB">
        <w:pPr>
          <w:pStyle w:val="Footer"/>
          <w:pBdr>
            <w:top w:val="single" w:sz="4" w:space="1" w:color="D9D9D9" w:themeColor="background1" w:themeShade="D9"/>
          </w:pBdr>
          <w:jc w:val="right"/>
          <w:rPr>
            <w:rFonts w:ascii="Verdana" w:hAnsi="Verdana"/>
          </w:rPr>
        </w:pPr>
        <w:r w:rsidRPr="00C65C35">
          <w:rPr>
            <w:rFonts w:ascii="Verdana" w:hAnsi="Verdana"/>
          </w:rPr>
          <w:fldChar w:fldCharType="begin"/>
        </w:r>
        <w:r w:rsidRPr="00C65C35">
          <w:rPr>
            <w:rFonts w:ascii="Verdana" w:hAnsi="Verdana"/>
          </w:rPr>
          <w:instrText xml:space="preserve"> PAGE   \* MERGEFORMAT </w:instrText>
        </w:r>
        <w:r w:rsidRPr="00C65C35">
          <w:rPr>
            <w:rFonts w:ascii="Verdana" w:hAnsi="Verdana"/>
          </w:rPr>
          <w:fldChar w:fldCharType="separate"/>
        </w:r>
        <w:r w:rsidRPr="00C65C35">
          <w:rPr>
            <w:rFonts w:ascii="Verdana" w:hAnsi="Verdana"/>
            <w:noProof/>
          </w:rPr>
          <w:t>17</w:t>
        </w:r>
        <w:r w:rsidRPr="00C65C35">
          <w:rPr>
            <w:rFonts w:ascii="Verdana" w:hAnsi="Verdana"/>
            <w:noProof/>
          </w:rPr>
          <w:fldChar w:fldCharType="end"/>
        </w:r>
        <w:r w:rsidRPr="00C65C35">
          <w:rPr>
            <w:rFonts w:ascii="Verdana" w:hAnsi="Verdana"/>
          </w:rPr>
          <w:t xml:space="preserve"> | </w:t>
        </w:r>
        <w:r w:rsidRPr="00C65C35">
          <w:rPr>
            <w:rFonts w:ascii="Verdana" w:hAnsi="Verdana"/>
            <w:color w:val="808080" w:themeColor="background1" w:themeShade="80"/>
            <w:spacing w:val="60"/>
          </w:rPr>
          <w:t>Page</w:t>
        </w:r>
      </w:p>
    </w:sdtContent>
  </w:sdt>
  <w:p w14:paraId="0D07A86A" w14:textId="461482A8" w:rsidR="00B110DB" w:rsidRPr="00C65C35" w:rsidRDefault="00B110DB">
    <w:pPr>
      <w:pStyle w:val="Footer"/>
      <w:rPr>
        <w:rFonts w:ascii="Verdana" w:hAnsi="Verdana"/>
        <w:i/>
      </w:rPr>
    </w:pPr>
    <w:r w:rsidRPr="00C65C35">
      <w:rPr>
        <w:rFonts w:ascii="Verdana" w:hAnsi="Verdana"/>
        <w:i/>
      </w:rPr>
      <w:t>Last Updated: November</w:t>
    </w:r>
    <w:r w:rsidR="00F21EFA">
      <w:rPr>
        <w:rFonts w:ascii="Verdana" w:hAnsi="Verdana"/>
        <w:i/>
      </w:rPr>
      <w:t xml:space="preserve"> </w:t>
    </w:r>
    <w:r>
      <w:rPr>
        <w:rFonts w:ascii="Verdana" w:hAnsi="Verdana"/>
        <w:i/>
      </w:rPr>
      <w:t>1</w:t>
    </w:r>
    <w:r w:rsidR="00C90C54">
      <w:rPr>
        <w:rFonts w:ascii="Verdana" w:hAnsi="Verdana"/>
        <w:i/>
      </w:rPr>
      <w:t>6</w:t>
    </w:r>
    <w:r w:rsidRPr="00C65C35">
      <w:rPr>
        <w:rFonts w:ascii="Verdana" w:hAnsi="Verdana"/>
        <w:i/>
      </w:rPr>
      <w:t>,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rPr>
      <w:id w:val="-42753134"/>
      <w:docPartObj>
        <w:docPartGallery w:val="Page Numbers (Bottom of Page)"/>
        <w:docPartUnique/>
      </w:docPartObj>
    </w:sdtPr>
    <w:sdtEndPr>
      <w:rPr>
        <w:color w:val="808080" w:themeColor="background1" w:themeShade="80"/>
        <w:spacing w:val="60"/>
      </w:rPr>
    </w:sdtEndPr>
    <w:sdtContent>
      <w:p w14:paraId="3930A637" w14:textId="7AFC461E" w:rsidR="00B110DB" w:rsidRPr="002F03C9" w:rsidRDefault="00B110DB" w:rsidP="002F03C9">
        <w:pPr>
          <w:pStyle w:val="Footer"/>
          <w:pBdr>
            <w:top w:val="single" w:sz="4" w:space="1" w:color="D9D9D9" w:themeColor="background1" w:themeShade="D9"/>
          </w:pBdr>
          <w:jc w:val="right"/>
          <w:rPr>
            <w:rFonts w:ascii="Verdana" w:hAnsi="Verdana"/>
          </w:rPr>
        </w:pPr>
        <w:r w:rsidRPr="002F03C9">
          <w:rPr>
            <w:rFonts w:ascii="Verdana" w:hAnsi="Verdana"/>
          </w:rPr>
          <w:fldChar w:fldCharType="begin"/>
        </w:r>
        <w:r w:rsidRPr="002F03C9">
          <w:rPr>
            <w:rFonts w:ascii="Verdana" w:hAnsi="Verdana"/>
          </w:rPr>
          <w:instrText xml:space="preserve"> PAGE   \* MERGEFORMAT </w:instrText>
        </w:r>
        <w:r w:rsidRPr="002F03C9">
          <w:rPr>
            <w:rFonts w:ascii="Verdana" w:hAnsi="Verdana"/>
          </w:rPr>
          <w:fldChar w:fldCharType="separate"/>
        </w:r>
        <w:r w:rsidRPr="002F03C9">
          <w:rPr>
            <w:rFonts w:ascii="Verdana" w:hAnsi="Verdana"/>
          </w:rPr>
          <w:t>2</w:t>
        </w:r>
        <w:r w:rsidRPr="002F03C9">
          <w:rPr>
            <w:rFonts w:ascii="Verdana" w:hAnsi="Verdana"/>
            <w:noProof/>
          </w:rPr>
          <w:fldChar w:fldCharType="end"/>
        </w:r>
        <w:r w:rsidRPr="002F03C9">
          <w:rPr>
            <w:rFonts w:ascii="Verdana" w:hAnsi="Verdana"/>
          </w:rPr>
          <w:t xml:space="preserve"> | </w:t>
        </w:r>
        <w:r w:rsidRPr="002F03C9">
          <w:rPr>
            <w:rFonts w:ascii="Verdana" w:hAnsi="Verdana"/>
            <w:color w:val="808080" w:themeColor="background1" w:themeShade="80"/>
            <w:spacing w:val="60"/>
          </w:rPr>
          <w:t>Page</w:t>
        </w:r>
      </w:p>
    </w:sdtContent>
  </w:sdt>
  <w:p w14:paraId="5D4CB208" w14:textId="43F2D55D" w:rsidR="00B110DB" w:rsidRPr="002F03C9" w:rsidRDefault="00B110DB">
    <w:pPr>
      <w:pStyle w:val="Footer"/>
      <w:rPr>
        <w:rFonts w:ascii="Verdana" w:hAnsi="Verdana"/>
        <w:i/>
      </w:rPr>
    </w:pPr>
    <w:r w:rsidRPr="002F03C9">
      <w:rPr>
        <w:rFonts w:ascii="Verdana" w:hAnsi="Verdana"/>
        <w:i/>
      </w:rPr>
      <w:t>Last Updated: November</w:t>
    </w:r>
    <w:r w:rsidR="00C90C54">
      <w:rPr>
        <w:rFonts w:ascii="Verdana" w:hAnsi="Verdana"/>
        <w:i/>
      </w:rPr>
      <w:t xml:space="preserve"> 16</w:t>
    </w:r>
    <w:r w:rsidRPr="002F03C9">
      <w:rPr>
        <w:rFonts w:ascii="Verdana" w:hAnsi="Verdana"/>
        <w:i/>
      </w:rPr>
      <w: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B80D5" w14:textId="77777777" w:rsidR="00C7614E" w:rsidRDefault="00C7614E" w:rsidP="00CD2DF8">
      <w:pPr>
        <w:spacing w:after="0" w:line="240" w:lineRule="auto"/>
      </w:pPr>
      <w:r>
        <w:separator/>
      </w:r>
    </w:p>
  </w:footnote>
  <w:footnote w:type="continuationSeparator" w:id="0">
    <w:p w14:paraId="470B41C9" w14:textId="77777777" w:rsidR="00C7614E" w:rsidRDefault="00C7614E" w:rsidP="00CD2DF8">
      <w:pPr>
        <w:spacing w:after="0" w:line="240" w:lineRule="auto"/>
      </w:pPr>
      <w:r>
        <w:continuationSeparator/>
      </w:r>
    </w:p>
  </w:footnote>
  <w:footnote w:type="continuationNotice" w:id="1">
    <w:p w14:paraId="71B77BB8" w14:textId="77777777" w:rsidR="00C7614E" w:rsidRDefault="00C7614E">
      <w:pPr>
        <w:spacing w:after="0" w:line="240" w:lineRule="auto"/>
      </w:pPr>
    </w:p>
  </w:footnote>
  <w:footnote w:id="2">
    <w:p w14:paraId="2B7A984A" w14:textId="5FF130E9" w:rsidR="00B110DB" w:rsidRPr="002F03C9" w:rsidRDefault="00B110DB">
      <w:pPr>
        <w:pStyle w:val="FootnoteText"/>
        <w:rPr>
          <w:rFonts w:ascii="Verdana" w:hAnsi="Verdana" w:cs="Times New Roman"/>
          <w:sz w:val="18"/>
          <w:szCs w:val="18"/>
        </w:rPr>
      </w:pPr>
      <w:r w:rsidRPr="002F03C9">
        <w:rPr>
          <w:rStyle w:val="FootnoteReference"/>
          <w:rFonts w:ascii="Verdana" w:hAnsi="Verdana" w:cs="Times New Roman"/>
          <w:sz w:val="18"/>
          <w:szCs w:val="18"/>
        </w:rPr>
        <w:footnoteRef/>
      </w:r>
      <w:r w:rsidRPr="002F03C9">
        <w:rPr>
          <w:rFonts w:ascii="Verdana" w:hAnsi="Verdana" w:cs="Times New Roman"/>
          <w:sz w:val="18"/>
          <w:szCs w:val="18"/>
        </w:rPr>
        <w:t xml:space="preserve"> R.S. 24:511-24:559</w:t>
      </w:r>
    </w:p>
  </w:footnote>
  <w:footnote w:id="3">
    <w:p w14:paraId="4512F898" w14:textId="02C70F60" w:rsidR="00B110DB" w:rsidRPr="00094945" w:rsidRDefault="00B110DB">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Article 7, Section 14 of the Louisiana Constitution prohibits the loan, pledge, or donation of funds, credit, property, or things of value (e.g. cash advances or non-business purchases, regardless of whether they were reimbursed).</w:t>
      </w:r>
    </w:p>
  </w:footnote>
  <w:footnote w:id="4">
    <w:p w14:paraId="03D7A834" w14:textId="1671A673" w:rsidR="00B110DB" w:rsidRPr="00094945" w:rsidRDefault="00B110DB">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This exclusion would also apply to procedure #4D(i) below.</w:t>
      </w:r>
    </w:p>
  </w:footnote>
  <w:footnote w:id="5">
    <w:p w14:paraId="696D16FB" w14:textId="77777777" w:rsidR="00B110DB" w:rsidRPr="00094945" w:rsidRDefault="00B110DB"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w:t>
      </w:r>
      <w:r w:rsidRPr="00094945">
        <w:rPr>
          <w:rFonts w:ascii="Verdana" w:eastAsia="Times New Roman" w:hAnsi="Verdana" w:cs="Times New Roman"/>
          <w:sz w:val="18"/>
          <w:szCs w:val="18"/>
        </w:rPr>
        <w:t>For governmental organizations, the practitioner may eliminate those categories and subcategories not applicable to the organization’s operations.  For quasi-public organizations, including nonprofits, the practitioner may eliminate those categories and subcategories not applicable to public funds administered by the quasi-public.</w:t>
      </w:r>
    </w:p>
  </w:footnote>
  <w:footnote w:id="6">
    <w:p w14:paraId="19178390" w14:textId="77777777" w:rsidR="00B110DB" w:rsidRPr="00094945" w:rsidRDefault="00B110DB"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Louisiana Code of Governmental Ethics (Ethics Code) is generally not applicable to nonprofit entities but may be applicable in certain situations, such as councils on aging.  If the Ethics Code is applicable to a nonprofit, the nonprofit should have written policies and procedures relating to ethics.</w:t>
      </w:r>
    </w:p>
  </w:footnote>
  <w:footnote w:id="7">
    <w:p w14:paraId="361EDFC3" w14:textId="77777777" w:rsidR="00B110DB" w:rsidRPr="00AF6D4E" w:rsidRDefault="00B110DB" w:rsidP="00C5660E">
      <w:pPr>
        <w:pStyle w:val="FootnoteText"/>
        <w:rPr>
          <w:rFonts w:ascii="Times New Roman" w:hAnsi="Times New Roman" w:cs="Times New Roman"/>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These procedures are not applicable to entities managed by a single elected official, such as a sheriff or assessor.</w:t>
      </w:r>
    </w:p>
  </w:footnote>
  <w:footnote w:id="8">
    <w:p w14:paraId="597B1B5F" w14:textId="77777777" w:rsidR="00B110DB" w:rsidRPr="0054069F" w:rsidRDefault="00B110DB" w:rsidP="00C5660E">
      <w:pPr>
        <w:pStyle w:val="FootnoteText"/>
        <w:rPr>
          <w:rFonts w:ascii="Verdana" w:hAnsi="Verdana" w:cs="Times New Roman"/>
          <w:sz w:val="18"/>
          <w:szCs w:val="18"/>
        </w:rPr>
      </w:pPr>
      <w:r w:rsidRPr="0054069F">
        <w:rPr>
          <w:rStyle w:val="FootnoteReference"/>
          <w:rFonts w:ascii="Verdana" w:hAnsi="Verdana" w:cs="Times New Roman"/>
          <w:sz w:val="18"/>
          <w:szCs w:val="18"/>
        </w:rPr>
        <w:footnoteRef/>
      </w:r>
      <w:r w:rsidRPr="0054069F">
        <w:rPr>
          <w:rFonts w:ascii="Verdana" w:hAnsi="Verdana" w:cs="Times New Roman"/>
          <w:sz w:val="18"/>
          <w:szCs w:val="18"/>
        </w:rPr>
        <w:t>Proprietary fund types are defined under GASB standards and include enterprise and internal service funds.  The related procedure addresses these funds as a way to verify that boards are provided with financial information necessary to make informed decisions about entity operations, including proprietary operations that are not required to be budgeted under the Local Government Budget Act.</w:t>
      </w:r>
    </w:p>
  </w:footnote>
  <w:footnote w:id="9">
    <w:p w14:paraId="62D5FC0D" w14:textId="77777777" w:rsidR="00B110DB" w:rsidRPr="0054069F" w:rsidRDefault="00B110DB" w:rsidP="00C5660E">
      <w:pPr>
        <w:pStyle w:val="FootnoteText"/>
        <w:rPr>
          <w:rFonts w:ascii="Verdana" w:hAnsi="Verdana" w:cs="Times New Roman"/>
          <w:sz w:val="18"/>
          <w:szCs w:val="18"/>
        </w:rPr>
      </w:pPr>
      <w:r w:rsidRPr="0054069F">
        <w:rPr>
          <w:rStyle w:val="FootnoteReference"/>
          <w:rFonts w:ascii="Verdana" w:hAnsi="Verdana" w:cs="Times New Roman"/>
          <w:sz w:val="18"/>
          <w:szCs w:val="18"/>
        </w:rPr>
        <w:footnoteRef/>
      </w:r>
      <w:r w:rsidRPr="0054069F">
        <w:rPr>
          <w:rFonts w:ascii="Verdana" w:hAnsi="Verdana" w:cs="Times New Roman"/>
          <w:sz w:val="18"/>
          <w:szCs w:val="18"/>
        </w:rPr>
        <w:t xml:space="preserve"> R.S. 24:513 (A)(1)(b)(iv) defines public funds.</w:t>
      </w:r>
    </w:p>
  </w:footnote>
  <w:footnote w:id="10">
    <w:p w14:paraId="137BC74A" w14:textId="34904BAC" w:rsidR="00B110DB" w:rsidRPr="00F94089" w:rsidRDefault="00B110DB">
      <w:pPr>
        <w:pStyle w:val="FootnoteText"/>
        <w:rPr>
          <w:rFonts w:ascii="Verdana" w:hAnsi="Verdana"/>
          <w:sz w:val="18"/>
          <w:szCs w:val="18"/>
        </w:rPr>
      </w:pPr>
      <w:r w:rsidRPr="00F94089">
        <w:rPr>
          <w:rStyle w:val="FootnoteReference"/>
          <w:rFonts w:ascii="Verdana" w:hAnsi="Verdana"/>
          <w:sz w:val="18"/>
          <w:szCs w:val="18"/>
        </w:rPr>
        <w:footnoteRef/>
      </w:r>
      <w:r w:rsidRPr="00F94089">
        <w:rPr>
          <w:rFonts w:ascii="Verdana" w:hAnsi="Verdana"/>
          <w:sz w:val="18"/>
          <w:szCs w:val="18"/>
        </w:rPr>
        <w:t xml:space="preserve"> No exception is necessary if management’s opinion is that the cost of taking corrective action for findings related to improper segregation of duties or</w:t>
      </w:r>
      <w:r w:rsidR="00FA23AC" w:rsidRPr="00F94089">
        <w:rPr>
          <w:rFonts w:ascii="Verdana" w:hAnsi="Verdana"/>
          <w:sz w:val="18"/>
          <w:szCs w:val="18"/>
        </w:rPr>
        <w:t xml:space="preserve"> </w:t>
      </w:r>
      <w:r w:rsidR="005B0CB1" w:rsidRPr="00F94089">
        <w:rPr>
          <w:rFonts w:ascii="Verdana" w:hAnsi="Verdana"/>
          <w:sz w:val="18"/>
          <w:szCs w:val="18"/>
        </w:rPr>
        <w:t>i</w:t>
      </w:r>
      <w:r w:rsidR="00BF0DBF" w:rsidRPr="00F94089">
        <w:rPr>
          <w:rFonts w:ascii="Verdana" w:hAnsi="Verdana"/>
          <w:sz w:val="18"/>
          <w:szCs w:val="18"/>
        </w:rPr>
        <w:t>nadequate design of controls over the preparation of the financial statements being audited</w:t>
      </w:r>
      <w:r w:rsidR="00BF0DBF" w:rsidRPr="00F94089" w:rsidDel="00BF0DBF">
        <w:rPr>
          <w:rFonts w:ascii="Verdana" w:hAnsi="Verdana"/>
          <w:sz w:val="18"/>
          <w:szCs w:val="18"/>
        </w:rPr>
        <w:t xml:space="preserve"> </w:t>
      </w:r>
      <w:r w:rsidRPr="00F94089">
        <w:rPr>
          <w:rFonts w:ascii="Verdana" w:hAnsi="Verdana"/>
          <w:sz w:val="18"/>
          <w:szCs w:val="18"/>
        </w:rPr>
        <w:t xml:space="preserve">exceeds the benefits of correcting those findings.  </w:t>
      </w:r>
    </w:p>
  </w:footnote>
  <w:footnote w:id="11">
    <w:p w14:paraId="4633782E" w14:textId="77777777" w:rsidR="00B110DB" w:rsidRPr="008E7233" w:rsidRDefault="00B110DB" w:rsidP="00C5660E">
      <w:pPr>
        <w:pStyle w:val="FootnoteText"/>
        <w:rPr>
          <w:rFonts w:ascii="Verdana" w:hAnsi="Verdana" w:cs="Times New Roman"/>
          <w:sz w:val="18"/>
          <w:szCs w:val="18"/>
        </w:rPr>
      </w:pPr>
      <w:r w:rsidRPr="00F94089">
        <w:rPr>
          <w:rStyle w:val="FootnoteReference"/>
          <w:rFonts w:ascii="Verdana" w:hAnsi="Verdana" w:cs="Times New Roman"/>
          <w:sz w:val="18"/>
          <w:szCs w:val="18"/>
        </w:rPr>
        <w:footnoteRef/>
      </w:r>
      <w:r w:rsidRPr="00F94089">
        <w:rPr>
          <w:rFonts w:ascii="Verdana" w:hAnsi="Verdana" w:cs="Times New Roman"/>
          <w:sz w:val="18"/>
          <w:szCs w:val="18"/>
        </w:rPr>
        <w:t xml:space="preserve"> Accounts selected may exclude savings and investment accounts that are not part of the entity’s daily business operations.</w:t>
      </w:r>
    </w:p>
  </w:footnote>
  <w:footnote w:id="12">
    <w:p w14:paraId="3F966769" w14:textId="77777777" w:rsidR="00B110DB" w:rsidRPr="00094945" w:rsidRDefault="00B110DB"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Collections category is not required to be performed if the entity has a third-party contractor performing all collection functions (e.g., receiving collections, preparing deposits, and making deposits).</w:t>
      </w:r>
    </w:p>
  </w:footnote>
  <w:footnote w:id="13">
    <w:p w14:paraId="0809F3CD" w14:textId="77777777" w:rsidR="00B110DB" w:rsidRPr="00094945" w:rsidRDefault="00B110DB"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A deposit site is a physical location where a deposit is prepared and reconciled.</w:t>
      </w:r>
    </w:p>
  </w:footnote>
  <w:footnote w:id="14">
    <w:p w14:paraId="00DAABFC" w14:textId="24A82B7E" w:rsidR="00B110DB" w:rsidRPr="008B0939" w:rsidRDefault="00B110DB" w:rsidP="00C5660E">
      <w:pPr>
        <w:pStyle w:val="FootnoteText"/>
        <w:rPr>
          <w:rFonts w:ascii="Times New Roman" w:hAnsi="Times New Roman" w:cs="Times New Roman"/>
          <w:sz w:val="16"/>
          <w:szCs w:val="16"/>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A collection location is a physical location where cash is collected.  An entity may have one or more collection locations whose collections are brought to a deposit site for deposit. For example, in a school district a collection location may be a classroom and a deposit site may be the school office.</w:t>
      </w:r>
      <w:r>
        <w:rPr>
          <w:rFonts w:ascii="Verdana" w:hAnsi="Verdana" w:cs="Times New Roman"/>
          <w:sz w:val="18"/>
          <w:szCs w:val="18"/>
        </w:rPr>
        <w:t xml:space="preserve"> For school boards only, the practitioner should consider the deposit site and collection location to be the same if there is a central person (secretary or bookkeeper) through which collections are deposited.</w:t>
      </w:r>
    </w:p>
  </w:footnote>
  <w:footnote w:id="15">
    <w:p w14:paraId="600491FA" w14:textId="77777777" w:rsidR="00B110DB" w:rsidRPr="00094945" w:rsidRDefault="00B110DB" w:rsidP="00C5660E">
      <w:pPr>
        <w:pStyle w:val="FootnoteText"/>
        <w:ind w:left="144" w:hanging="144"/>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practitioner is not required to test for completeness of revenues relative to classroom collections by teachers.</w:t>
      </w:r>
    </w:p>
  </w:footnote>
  <w:footnote w:id="16">
    <w:p w14:paraId="7D0DAB2B" w14:textId="6F0E70F1" w:rsidR="00F94089" w:rsidRDefault="00F94089">
      <w:pPr>
        <w:pStyle w:val="FootnoteText"/>
      </w:pPr>
      <w:r>
        <w:rPr>
          <w:rStyle w:val="FootnoteReference"/>
        </w:rPr>
        <w:footnoteRef/>
      </w:r>
      <w:r>
        <w:t xml:space="preserve"> </w:t>
      </w:r>
      <w:r w:rsidRPr="00722D00">
        <w:rPr>
          <w:rFonts w:ascii="Verdana" w:hAnsi="Verdana"/>
          <w:sz w:val="18"/>
          <w:szCs w:val="18"/>
        </w:rPr>
        <w:t>As required by Louisiana Revised Statute 39:1212.</w:t>
      </w:r>
    </w:p>
  </w:footnote>
  <w:footnote w:id="17">
    <w:p w14:paraId="65D07AF3" w14:textId="77777777" w:rsidR="00B110DB" w:rsidRPr="00094945" w:rsidRDefault="00B110DB"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Including cards used by school staff for either school operations or student activity fund operations.</w:t>
      </w:r>
    </w:p>
  </w:footnote>
  <w:footnote w:id="18">
    <w:p w14:paraId="0A09BAFC" w14:textId="77777777" w:rsidR="00B110DB" w:rsidRPr="00094945" w:rsidRDefault="00B110DB"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For example, if 3 of the 5 cards selected were fuel cards, transactions would only be selected for each of the 2 credit cards.  Conceivably, if all 5 cards randomly selected under procedure #7B were fuel cards, procedure #7C would not be applicable.</w:t>
      </w:r>
    </w:p>
  </w:footnote>
  <w:footnote w:id="19">
    <w:p w14:paraId="17B893D0" w14:textId="77777777" w:rsidR="00B110DB" w:rsidRPr="00094945" w:rsidRDefault="00B110DB" w:rsidP="003878EF">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Non-travel reimbursements are not required to be inspected under this category.</w:t>
      </w:r>
    </w:p>
  </w:footnote>
  <w:footnote w:id="20">
    <w:p w14:paraId="32570EF1" w14:textId="77777777" w:rsidR="00B110DB" w:rsidRPr="008B0939" w:rsidRDefault="00B110DB" w:rsidP="00C5660E">
      <w:pPr>
        <w:pStyle w:val="FootnoteText"/>
        <w:rPr>
          <w:rFonts w:ascii="Times New Roman" w:hAnsi="Times New Roman" w:cs="Times New Roman"/>
          <w:sz w:val="16"/>
          <w:szCs w:val="16"/>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If the entity has adopted the state Procurement Code, replace “Louisiana Public Bid Law” with “Louisiana Procurement Code.”</w:t>
      </w:r>
    </w:p>
  </w:footnote>
  <w:footnote w:id="21">
    <w:p w14:paraId="50E512A2" w14:textId="77777777" w:rsidR="00B110DB" w:rsidRPr="00094945" w:rsidRDefault="00B110DB"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“Officials” would include those elected, as well as board members who are appointed.</w:t>
      </w:r>
    </w:p>
  </w:footnote>
  <w:footnote w:id="22">
    <w:p w14:paraId="7F08BDF2" w14:textId="77777777" w:rsidR="00B110DB" w:rsidRPr="00797015" w:rsidRDefault="00B110DB" w:rsidP="00C5660E">
      <w:pPr>
        <w:pStyle w:val="FootnoteText"/>
        <w:rPr>
          <w:rFonts w:ascii="Times New Roman" w:hAnsi="Times New Roman" w:cs="Times New Roman"/>
          <w:sz w:val="16"/>
          <w:szCs w:val="16"/>
        </w:rPr>
      </w:pPr>
      <w:r w:rsidRPr="00094945">
        <w:rPr>
          <w:rStyle w:val="FootnoteReference"/>
          <w:rFonts w:ascii="Verdana" w:hAnsi="Verdana"/>
          <w:sz w:val="18"/>
          <w:szCs w:val="18"/>
        </w:rPr>
        <w:footnoteRef/>
      </w:r>
      <w:r w:rsidRPr="00094945">
        <w:rPr>
          <w:rFonts w:ascii="Verdana" w:hAnsi="Verdana"/>
          <w:sz w:val="18"/>
          <w:szCs w:val="18"/>
        </w:rPr>
        <w:t xml:space="preserve"> </w:t>
      </w:r>
      <w:r w:rsidRPr="00094945">
        <w:rPr>
          <w:rFonts w:ascii="Verdana" w:hAnsi="Verdana" w:cs="Times New Roman"/>
          <w:sz w:val="18"/>
          <w:szCs w:val="18"/>
        </w:rPr>
        <w:t>Generally, officials are not eligible to earn leave and do not document their attendance and leave. However, if the official is earning leave according to a policy and/or contract, the official should document his/her daily attendance and leave.</w:t>
      </w:r>
    </w:p>
  </w:footnote>
  <w:footnote w:id="23">
    <w:p w14:paraId="0D6BD8BD" w14:textId="77777777" w:rsidR="00B110DB" w:rsidRPr="00094945" w:rsidRDefault="00B110DB" w:rsidP="00C5660E">
      <w:pPr>
        <w:pStyle w:val="FootnoteText"/>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The Louisiana Code of Governmental Ethics (Ethics Code) is generally not applicable to nonprofit entities but may be applicable in certain situations, such as councils on aging.  If the Ethics Code is applicable to a nonprofit, the procedures should be performed.</w:t>
      </w:r>
    </w:p>
  </w:footnote>
  <w:footnote w:id="24">
    <w:p w14:paraId="7D668CD2" w14:textId="77777777" w:rsidR="00B110DB" w:rsidRPr="00094945" w:rsidRDefault="00B110DB" w:rsidP="00C5660E">
      <w:pPr>
        <w:pStyle w:val="FootnoteText"/>
        <w:rPr>
          <w:rFonts w:ascii="Verdana" w:hAnsi="Verdana" w:cs="Times New Roman"/>
          <w:sz w:val="18"/>
          <w:szCs w:val="18"/>
        </w:rPr>
      </w:pPr>
      <w:r w:rsidRPr="00094945">
        <w:rPr>
          <w:rStyle w:val="FootnoteReference"/>
          <w:rFonts w:ascii="Verdana" w:hAnsi="Verdana"/>
          <w:sz w:val="18"/>
          <w:szCs w:val="18"/>
        </w:rPr>
        <w:footnoteRef/>
      </w:r>
      <w:r w:rsidRPr="00094945">
        <w:rPr>
          <w:rFonts w:ascii="Verdana" w:hAnsi="Verdana"/>
          <w:sz w:val="18"/>
          <w:szCs w:val="18"/>
        </w:rPr>
        <w:t xml:space="preserve"> </w:t>
      </w:r>
      <w:r w:rsidRPr="00094945">
        <w:rPr>
          <w:rFonts w:ascii="Verdana" w:hAnsi="Verdana" w:cs="Times New Roman"/>
          <w:sz w:val="18"/>
          <w:szCs w:val="18"/>
        </w:rPr>
        <w:t xml:space="preserve">This AUP category is generally not applicable to nonprofit entities. However, if applicable, the procedures should be performed. </w:t>
      </w:r>
    </w:p>
  </w:footnote>
  <w:footnote w:id="25">
    <w:p w14:paraId="62353D09" w14:textId="77777777" w:rsidR="00B110DB" w:rsidRPr="00AF6D4E" w:rsidRDefault="00B110DB" w:rsidP="00C5660E">
      <w:pPr>
        <w:pStyle w:val="FootnoteText"/>
        <w:rPr>
          <w:rFonts w:ascii="Times New Roman" w:hAnsi="Times New Roman" w:cs="Times New Roman"/>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Observation may be limited to those premises that are visited during the performance of other procedures under the AUPs and the notice is available for download at </w:t>
      </w:r>
      <w:hyperlink r:id="rId1" w:history="1">
        <w:r w:rsidRPr="00094945">
          <w:rPr>
            <w:rStyle w:val="Hyperlink"/>
            <w:rFonts w:ascii="Verdana" w:hAnsi="Verdana" w:cs="Times New Roman"/>
            <w:sz w:val="18"/>
            <w:szCs w:val="18"/>
          </w:rPr>
          <w:t>www.lla.la.gov/hotline</w:t>
        </w:r>
      </w:hyperlink>
      <w:r w:rsidRPr="00094945">
        <w:rPr>
          <w:rFonts w:ascii="Verdana" w:hAnsi="Verdana" w:cs="Times New Roman"/>
          <w:sz w:val="18"/>
          <w:szCs w:val="18"/>
        </w:rPr>
        <w:t xml:space="preserve"> </w:t>
      </w:r>
    </w:p>
  </w:footnote>
  <w:footnote w:id="26">
    <w:p w14:paraId="2F738013" w14:textId="4483A647" w:rsidR="00B110DB" w:rsidRPr="00094945" w:rsidRDefault="00B110DB" w:rsidP="00C5660E">
      <w:pPr>
        <w:pStyle w:val="FootnoteText"/>
        <w:ind w:left="144" w:hanging="144"/>
        <w:rPr>
          <w:rFonts w:ascii="Verdana" w:hAnsi="Verdana" w:cs="Times New Roman"/>
          <w:sz w:val="18"/>
          <w:szCs w:val="18"/>
        </w:rPr>
      </w:pPr>
      <w:r w:rsidRPr="00094945">
        <w:rPr>
          <w:rStyle w:val="FootnoteReference"/>
          <w:rFonts w:ascii="Verdana" w:hAnsi="Verdana" w:cs="Times New Roman"/>
          <w:sz w:val="18"/>
          <w:szCs w:val="18"/>
        </w:rPr>
        <w:footnoteRef/>
      </w:r>
      <w:r w:rsidRPr="00094945">
        <w:rPr>
          <w:rFonts w:ascii="Verdana" w:hAnsi="Verdana" w:cs="Times New Roman"/>
          <w:sz w:val="18"/>
          <w:szCs w:val="18"/>
        </w:rPr>
        <w:t xml:space="preserve"> </w:t>
      </w:r>
      <w:r w:rsidR="007E50CE" w:rsidRPr="007E50CE">
        <w:rPr>
          <w:rFonts w:ascii="Verdana" w:hAnsi="Verdana" w:cs="Times New Roman"/>
          <w:sz w:val="18"/>
          <w:szCs w:val="18"/>
        </w:rPr>
        <w:t>While it appears to be a good practice for charter schools to ensure it has policies and training for sexual harassment</w:t>
      </w:r>
      <w:r w:rsidR="007E50CE">
        <w:rPr>
          <w:rFonts w:ascii="Verdana" w:hAnsi="Verdana" w:cs="Times New Roman"/>
          <w:sz w:val="18"/>
          <w:szCs w:val="18"/>
        </w:rPr>
        <w:t>, c</w:t>
      </w:r>
      <w:r w:rsidR="007E50CE" w:rsidRPr="007E50CE">
        <w:rPr>
          <w:rFonts w:ascii="Verdana" w:hAnsi="Verdana" w:cs="Times New Roman"/>
          <w:sz w:val="18"/>
          <w:szCs w:val="18"/>
        </w:rPr>
        <w:t>harter schools do not appear required to comply with the Prevention of Sexual Harassment Law (R.S. 42:341 et seq). An individual charter school, through the specific provisions of its charter, may</w:t>
      </w:r>
      <w:r w:rsidR="007E50CE" w:rsidRPr="007E50CE">
        <w:t xml:space="preserve"> </w:t>
      </w:r>
      <w:r w:rsidR="007E50CE" w:rsidRPr="007E50CE">
        <w:rPr>
          <w:rFonts w:ascii="Verdana" w:hAnsi="Verdana" w:cs="Times New Roman"/>
          <w:sz w:val="18"/>
          <w:szCs w:val="18"/>
        </w:rPr>
        <w:t>mandate sexual harassment training.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BCBC7" w14:textId="7AB776AD" w:rsidR="00B110DB" w:rsidRPr="00CA0B1D" w:rsidRDefault="00B110DB" w:rsidP="00C4007D">
    <w:pPr>
      <w:pStyle w:val="Header"/>
      <w:tabs>
        <w:tab w:val="clear" w:pos="4680"/>
        <w:tab w:val="clear" w:pos="9360"/>
        <w:tab w:val="left" w:pos="2231"/>
      </w:tabs>
    </w:pPr>
    <w:r>
      <w:rPr>
        <w:noProof/>
      </w:rPr>
      <w:drawing>
        <wp:anchor distT="0" distB="0" distL="114300" distR="114300" simplePos="0" relativeHeight="251659264" behindDoc="1" locked="0" layoutInCell="1" allowOverlap="1" wp14:anchorId="1F27ECF9" wp14:editId="33E3A0C9">
          <wp:simplePos x="0" y="0"/>
          <wp:positionH relativeFrom="page">
            <wp:posOffset>-12879</wp:posOffset>
          </wp:positionH>
          <wp:positionV relativeFrom="paragraph">
            <wp:posOffset>-711557</wp:posOffset>
          </wp:positionV>
          <wp:extent cx="7787340" cy="10077733"/>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7340" cy="1007773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1D1BA" w14:textId="77777777" w:rsidR="00B110DB" w:rsidRPr="00577B38" w:rsidRDefault="00B110DB" w:rsidP="00577B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3425" w14:textId="77777777" w:rsidR="00B110DB" w:rsidRDefault="00B110DB" w:rsidP="007A7D97">
    <w:pPr>
      <w:pStyle w:val="PageHeader-Inside"/>
      <w:rPr>
        <w:rFonts w:ascii="Verdana" w:hAnsi="Verdana"/>
        <w:sz w:val="18"/>
        <w:szCs w:val="18"/>
      </w:rPr>
    </w:pPr>
    <w:r>
      <w:rPr>
        <w:rFonts w:ascii="Verdana" w:hAnsi="Verdana"/>
        <w:sz w:val="18"/>
        <w:szCs w:val="18"/>
      </w:rPr>
      <w:t>Statewide Agreed-Upon Procedures</w:t>
    </w:r>
  </w:p>
  <w:p w14:paraId="63B12A6C" w14:textId="5825585F" w:rsidR="00B110DB" w:rsidRPr="007A7D97" w:rsidRDefault="00B110DB" w:rsidP="007A7D97">
    <w:pPr>
      <w:pStyle w:val="PageHeader-Inside"/>
      <w:rPr>
        <w:rFonts w:ascii="Verdana" w:hAnsi="Verdana"/>
        <w:sz w:val="18"/>
        <w:szCs w:val="18"/>
      </w:rPr>
    </w:pPr>
    <w:r>
      <w:rPr>
        <w:rFonts w:ascii="Verdana" w:hAnsi="Verdana"/>
        <w:sz w:val="18"/>
        <w:szCs w:val="18"/>
      </w:rPr>
      <w:t>Fiscal Years 12/31/2022 Through 11/30/2023</w:t>
    </w:r>
    <w:r w:rsidRPr="009469B0">
      <w:rPr>
        <w:rFonts w:ascii="Verdana" w:hAnsi="Verdana"/>
        <w:sz w:val="18"/>
        <w:szCs w:val="18"/>
      </w:rPr>
      <w:tab/>
      <w:t>In</w:t>
    </w:r>
    <w:r>
      <w:rPr>
        <w:rFonts w:ascii="Verdana" w:hAnsi="Verdana"/>
        <w:sz w:val="18"/>
        <w:szCs w:val="18"/>
      </w:rPr>
      <w:t xml:space="preserve">structions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0352E" w14:textId="77777777" w:rsidR="00B110DB" w:rsidRDefault="00B110DB" w:rsidP="007A7D97">
    <w:pPr>
      <w:pStyle w:val="PageHeader-Inside"/>
      <w:rPr>
        <w:rFonts w:ascii="Verdana" w:hAnsi="Verdana"/>
        <w:sz w:val="18"/>
        <w:szCs w:val="18"/>
      </w:rPr>
    </w:pPr>
    <w:r>
      <w:rPr>
        <w:rFonts w:ascii="Verdana" w:hAnsi="Verdana"/>
        <w:sz w:val="18"/>
        <w:szCs w:val="18"/>
      </w:rPr>
      <w:t>Statewide Agreed-Upon Procedures</w:t>
    </w:r>
  </w:p>
  <w:p w14:paraId="4D252503" w14:textId="7AD27550" w:rsidR="00B110DB" w:rsidRPr="007A7D97" w:rsidRDefault="00B110DB" w:rsidP="007A7D97">
    <w:pPr>
      <w:pStyle w:val="PageHeader-Inside"/>
      <w:rPr>
        <w:rFonts w:ascii="Verdana" w:hAnsi="Verdana"/>
        <w:sz w:val="18"/>
        <w:szCs w:val="18"/>
      </w:rPr>
    </w:pPr>
    <w:r>
      <w:rPr>
        <w:rFonts w:ascii="Verdana" w:hAnsi="Verdana"/>
        <w:sz w:val="18"/>
        <w:szCs w:val="18"/>
      </w:rPr>
      <w:t>Fiscal Years 12/31/2022 Through 11/30/2023</w:t>
    </w:r>
    <w:r w:rsidRPr="009469B0">
      <w:rPr>
        <w:rFonts w:ascii="Verdana" w:hAnsi="Verdana"/>
        <w:sz w:val="18"/>
        <w:szCs w:val="18"/>
      </w:rPr>
      <w:tab/>
    </w:r>
    <w:r>
      <w:rPr>
        <w:rFonts w:ascii="Verdana" w:hAnsi="Verdana"/>
        <w:sz w:val="18"/>
        <w:szCs w:val="18"/>
      </w:rPr>
      <w:t>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6D60"/>
    <w:multiLevelType w:val="hybridMultilevel"/>
    <w:tmpl w:val="74EC067E"/>
    <w:lvl w:ilvl="0" w:tplc="EBE41468">
      <w:start w:val="1"/>
      <w:numFmt w:val="decimal"/>
      <w:lvlText w:val="%1."/>
      <w:lvlJc w:val="left"/>
      <w:pPr>
        <w:tabs>
          <w:tab w:val="num" w:pos="360"/>
        </w:tabs>
        <w:ind w:left="360" w:hanging="360"/>
      </w:pPr>
      <w:rPr>
        <w:b w:val="0"/>
        <w:i w:val="0"/>
      </w:rPr>
    </w:lvl>
    <w:lvl w:ilvl="1" w:tplc="9A84324A">
      <w:start w:val="1"/>
      <w:numFmt w:val="lowerRoman"/>
      <w:lvlText w:val="%2."/>
      <w:lvlJc w:val="right"/>
      <w:pPr>
        <w:tabs>
          <w:tab w:val="num" w:pos="936"/>
        </w:tabs>
        <w:ind w:left="720" w:hanging="144"/>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765518"/>
    <w:multiLevelType w:val="hybridMultilevel"/>
    <w:tmpl w:val="DAFA5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03B91"/>
    <w:multiLevelType w:val="hybridMultilevel"/>
    <w:tmpl w:val="B358EB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329AE"/>
    <w:multiLevelType w:val="hybridMultilevel"/>
    <w:tmpl w:val="4550869A"/>
    <w:lvl w:ilvl="0" w:tplc="54584B02">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C1ED7"/>
    <w:multiLevelType w:val="hybridMultilevel"/>
    <w:tmpl w:val="B2BC6868"/>
    <w:lvl w:ilvl="0" w:tplc="489E28B2">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247A0A"/>
    <w:multiLevelType w:val="hybridMultilevel"/>
    <w:tmpl w:val="9956F69C"/>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170"/>
        </w:tabs>
        <w:ind w:left="1170" w:hanging="360"/>
      </w:pPr>
      <w:rPr>
        <w:rFonts w:ascii="Symbol" w:hAnsi="Symbol" w:hint="default"/>
      </w:r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9BE6FC0"/>
    <w:multiLevelType w:val="hybridMultilevel"/>
    <w:tmpl w:val="BE4ABD3A"/>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B4E6E5D"/>
    <w:multiLevelType w:val="hybridMultilevel"/>
    <w:tmpl w:val="64F48052"/>
    <w:lvl w:ilvl="0" w:tplc="27F8CA1C">
      <w:start w:val="1"/>
      <w:numFmt w:val="decimal"/>
      <w:lvlText w:val="%1."/>
      <w:lvlJc w:val="left"/>
      <w:pPr>
        <w:tabs>
          <w:tab w:val="num" w:pos="720"/>
        </w:tabs>
        <w:ind w:left="720" w:hanging="360"/>
      </w:pPr>
      <w:rPr>
        <w:color w:val="auto"/>
      </w:rPr>
    </w:lvl>
    <w:lvl w:ilvl="1" w:tplc="58D8E75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FC7F6F"/>
    <w:multiLevelType w:val="hybridMultilevel"/>
    <w:tmpl w:val="BA2E01BA"/>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3CF2238"/>
    <w:multiLevelType w:val="hybridMultilevel"/>
    <w:tmpl w:val="50B81746"/>
    <w:lvl w:ilvl="0" w:tplc="F2B80334">
      <w:start w:val="1"/>
      <w:numFmt w:val="lowerRoman"/>
      <w:lvlText w:val="%1."/>
      <w:lvlJc w:val="right"/>
      <w:pPr>
        <w:tabs>
          <w:tab w:val="num" w:pos="720"/>
        </w:tabs>
        <w:ind w:left="720" w:hanging="144"/>
      </w:pPr>
      <w:rPr>
        <w:rFonts w:hint="default"/>
      </w:rPr>
    </w:lvl>
    <w:lvl w:ilvl="1" w:tplc="0409000F">
      <w:start w:val="1"/>
      <w:numFmt w:val="decimal"/>
      <w:lvlText w:val="%2."/>
      <w:lvlJc w:val="left"/>
      <w:pPr>
        <w:tabs>
          <w:tab w:val="num" w:pos="1170"/>
        </w:tabs>
        <w:ind w:left="1170" w:hanging="360"/>
      </w:p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43E3297"/>
    <w:multiLevelType w:val="hybridMultilevel"/>
    <w:tmpl w:val="2AA0860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1E4D75"/>
    <w:multiLevelType w:val="hybridMultilevel"/>
    <w:tmpl w:val="687E1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2D06F9"/>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15:restartNumberingAfterBreak="0">
    <w:nsid w:val="1B042197"/>
    <w:multiLevelType w:val="hybridMultilevel"/>
    <w:tmpl w:val="CD8882C8"/>
    <w:lvl w:ilvl="0" w:tplc="FB0EEE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E3545C"/>
    <w:multiLevelType w:val="hybridMultilevel"/>
    <w:tmpl w:val="1EB2F25E"/>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1933EDA"/>
    <w:multiLevelType w:val="hybridMultilevel"/>
    <w:tmpl w:val="86B427C2"/>
    <w:lvl w:ilvl="0" w:tplc="CF8E1406">
      <w:start w:val="8"/>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15:restartNumberingAfterBreak="0">
    <w:nsid w:val="22716F0E"/>
    <w:multiLevelType w:val="hybridMultilevel"/>
    <w:tmpl w:val="86144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9B59D3"/>
    <w:multiLevelType w:val="hybridMultilevel"/>
    <w:tmpl w:val="D21AE886"/>
    <w:lvl w:ilvl="0" w:tplc="04090017">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2E55F9B"/>
    <w:multiLevelType w:val="hybridMultilevel"/>
    <w:tmpl w:val="15FCD9B8"/>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23AB02AA"/>
    <w:multiLevelType w:val="hybridMultilevel"/>
    <w:tmpl w:val="F93E74CC"/>
    <w:lvl w:ilvl="0" w:tplc="32BCC08A">
      <w:start w:val="14"/>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15:restartNumberingAfterBreak="0">
    <w:nsid w:val="242A1125"/>
    <w:multiLevelType w:val="hybridMultilevel"/>
    <w:tmpl w:val="B336D4C2"/>
    <w:lvl w:ilvl="0" w:tplc="0409000B">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1890"/>
        </w:tabs>
        <w:ind w:left="1890" w:hanging="360"/>
      </w:pPr>
    </w:lvl>
    <w:lvl w:ilvl="2" w:tplc="04090001">
      <w:start w:val="1"/>
      <w:numFmt w:val="bullet"/>
      <w:lvlText w:val=""/>
      <w:lvlJc w:val="left"/>
      <w:pPr>
        <w:tabs>
          <w:tab w:val="num" w:pos="1890"/>
        </w:tabs>
        <w:ind w:left="1890" w:hanging="360"/>
      </w:pPr>
      <w:rPr>
        <w:rFonts w:ascii="Symbol" w:hAnsi="Symbol"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1" w15:restartNumberingAfterBreak="0">
    <w:nsid w:val="2462076D"/>
    <w:multiLevelType w:val="hybridMultilevel"/>
    <w:tmpl w:val="0608B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D11A8C"/>
    <w:multiLevelType w:val="hybridMultilevel"/>
    <w:tmpl w:val="C368F7B0"/>
    <w:lvl w:ilvl="0" w:tplc="04090015">
      <w:start w:val="1"/>
      <w:numFmt w:val="upperLetter"/>
      <w:lvlText w:val="%1."/>
      <w:lvlJc w:val="left"/>
      <w:pPr>
        <w:tabs>
          <w:tab w:val="num" w:pos="360"/>
        </w:tabs>
        <w:ind w:left="360" w:hanging="360"/>
      </w:pPr>
      <w:rPr>
        <w:rFonts w:hint="default"/>
        <w:b w:val="0"/>
        <w:i w:val="0"/>
        <w:color w:val="auto"/>
      </w:rPr>
    </w:lvl>
    <w:lvl w:ilvl="1" w:tplc="28CA275C">
      <w:start w:val="1"/>
      <w:numFmt w:val="lowerRoman"/>
      <w:lvlText w:val="%2."/>
      <w:lvlJc w:val="right"/>
      <w:pPr>
        <w:ind w:left="720" w:hanging="144"/>
      </w:pPr>
      <w:rPr>
        <w:rFonts w:hint="default"/>
        <w:color w:val="auto"/>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26135E28"/>
    <w:multiLevelType w:val="hybridMultilevel"/>
    <w:tmpl w:val="DB084392"/>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2724480C"/>
    <w:multiLevelType w:val="hybridMultilevel"/>
    <w:tmpl w:val="848A1380"/>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AE837CA"/>
    <w:multiLevelType w:val="hybridMultilevel"/>
    <w:tmpl w:val="60DA0E7E"/>
    <w:lvl w:ilvl="0" w:tplc="04090015">
      <w:start w:val="1"/>
      <w:numFmt w:val="upperLetter"/>
      <w:lvlText w:val="%1."/>
      <w:lvlJc w:val="left"/>
      <w:pPr>
        <w:tabs>
          <w:tab w:val="num" w:pos="360"/>
        </w:tabs>
        <w:ind w:left="360" w:hanging="360"/>
      </w:pPr>
      <w:rPr>
        <w:rFonts w:hint="default"/>
        <w:b w:val="0"/>
        <w:i w:val="0"/>
      </w:rPr>
    </w:lvl>
    <w:lvl w:ilvl="1" w:tplc="5A04E0B6">
      <w:start w:val="1"/>
      <w:numFmt w:val="lowerRoman"/>
      <w:lvlText w:val="%2."/>
      <w:lvlJc w:val="right"/>
      <w:pPr>
        <w:ind w:left="792" w:hanging="216"/>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B482431"/>
    <w:multiLevelType w:val="hybridMultilevel"/>
    <w:tmpl w:val="3BE64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6209BA"/>
    <w:multiLevelType w:val="hybridMultilevel"/>
    <w:tmpl w:val="5C1E6B80"/>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8" w15:restartNumberingAfterBreak="0">
    <w:nsid w:val="2B9C3730"/>
    <w:multiLevelType w:val="hybridMultilevel"/>
    <w:tmpl w:val="B516845A"/>
    <w:lvl w:ilvl="0" w:tplc="A9024A60">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8F4D0F"/>
    <w:multiLevelType w:val="hybridMultilevel"/>
    <w:tmpl w:val="5C1E6B80"/>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0" w15:restartNumberingAfterBreak="0">
    <w:nsid w:val="2F591F62"/>
    <w:multiLevelType w:val="hybridMultilevel"/>
    <w:tmpl w:val="4DF07E10"/>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170"/>
        </w:tabs>
        <w:ind w:left="1170" w:hanging="360"/>
      </w:pPr>
      <w:rPr>
        <w:rFonts w:ascii="Wingdings" w:hAnsi="Wingdings" w:hint="default"/>
      </w:r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31913BD3"/>
    <w:multiLevelType w:val="hybridMultilevel"/>
    <w:tmpl w:val="90B05C84"/>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2EAAA82C">
      <w:start w:val="1"/>
      <w:numFmt w:val="bullet"/>
      <w:lvlText w:val="o"/>
      <w:lvlJc w:val="left"/>
      <w:pPr>
        <w:tabs>
          <w:tab w:val="num" w:pos="72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3469604B"/>
    <w:multiLevelType w:val="hybridMultilevel"/>
    <w:tmpl w:val="0CAA3978"/>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244E1294">
      <w:start w:val="3"/>
      <w:numFmt w:val="lowerRoman"/>
      <w:lvlText w:val="%3."/>
      <w:lvlJc w:val="right"/>
      <w:pPr>
        <w:tabs>
          <w:tab w:val="num" w:pos="810"/>
        </w:tabs>
        <w:ind w:left="810" w:hanging="360"/>
      </w:pPr>
      <w:rPr>
        <w:rFonts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15:restartNumberingAfterBreak="0">
    <w:nsid w:val="355667E2"/>
    <w:multiLevelType w:val="hybridMultilevel"/>
    <w:tmpl w:val="442E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E46086"/>
    <w:multiLevelType w:val="hybridMultilevel"/>
    <w:tmpl w:val="3606CFE4"/>
    <w:lvl w:ilvl="0" w:tplc="5DF4DCE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95822EB"/>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6" w15:restartNumberingAfterBreak="0">
    <w:nsid w:val="3A412123"/>
    <w:multiLevelType w:val="hybridMultilevel"/>
    <w:tmpl w:val="C92AD8A6"/>
    <w:lvl w:ilvl="0" w:tplc="EBE41468">
      <w:start w:val="1"/>
      <w:numFmt w:val="decimal"/>
      <w:lvlText w:val="%1."/>
      <w:lvlJc w:val="left"/>
      <w:pPr>
        <w:tabs>
          <w:tab w:val="num" w:pos="360"/>
        </w:tabs>
        <w:ind w:left="360" w:hanging="360"/>
      </w:pPr>
      <w:rPr>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3D2A302B"/>
    <w:multiLevelType w:val="hybridMultilevel"/>
    <w:tmpl w:val="7D243E42"/>
    <w:lvl w:ilvl="0" w:tplc="489E28B2">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D33041D"/>
    <w:multiLevelType w:val="hybridMultilevel"/>
    <w:tmpl w:val="112ADB68"/>
    <w:lvl w:ilvl="0" w:tplc="8CBC943E">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3EC963B0"/>
    <w:multiLevelType w:val="hybridMultilevel"/>
    <w:tmpl w:val="4DC26562"/>
    <w:lvl w:ilvl="0" w:tplc="1E8E9E38">
      <w:start w:val="1"/>
      <w:numFmt w:val="lowerRoman"/>
      <w:lvlText w:val="%1."/>
      <w:lvlJc w:val="right"/>
      <w:pPr>
        <w:tabs>
          <w:tab w:val="num" w:pos="1080"/>
        </w:tabs>
        <w:ind w:left="720" w:hanging="144"/>
      </w:pPr>
      <w:rPr>
        <w:rFonts w:hint="default"/>
        <w:color w:val="auto"/>
      </w:rPr>
    </w:lvl>
    <w:lvl w:ilvl="1" w:tplc="2EAAA82C">
      <w:start w:val="1"/>
      <w:numFmt w:val="bullet"/>
      <w:lvlText w:val="o"/>
      <w:lvlJc w:val="left"/>
      <w:pPr>
        <w:tabs>
          <w:tab w:val="num" w:pos="72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3F9A2D30"/>
    <w:multiLevelType w:val="hybridMultilevel"/>
    <w:tmpl w:val="3FA4DFC4"/>
    <w:lvl w:ilvl="0" w:tplc="947E3AA6">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1E93DEF"/>
    <w:multiLevelType w:val="hybridMultilevel"/>
    <w:tmpl w:val="EE8AD6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2CE0FF86">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2423180"/>
    <w:multiLevelType w:val="hybridMultilevel"/>
    <w:tmpl w:val="C0CE3328"/>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B">
      <w:start w:val="1"/>
      <w:numFmt w:val="bullet"/>
      <w:lvlText w:val=""/>
      <w:lvlJc w:val="left"/>
      <w:pPr>
        <w:tabs>
          <w:tab w:val="num" w:pos="810"/>
        </w:tabs>
        <w:ind w:left="810" w:hanging="360"/>
      </w:pPr>
      <w:rPr>
        <w:rFonts w:ascii="Wingdings" w:hAnsi="Wingdings" w:hint="default"/>
      </w:rPr>
    </w:lvl>
    <w:lvl w:ilvl="3" w:tplc="0409000B">
      <w:start w:val="1"/>
      <w:numFmt w:val="bullet"/>
      <w:lvlText w:val=""/>
      <w:lvlJc w:val="left"/>
      <w:pPr>
        <w:tabs>
          <w:tab w:val="num" w:pos="2520"/>
        </w:tabs>
        <w:ind w:left="2520" w:hanging="360"/>
      </w:pPr>
      <w:rPr>
        <w:rFonts w:ascii="Wingdings" w:hAnsi="Wingdings"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3" w15:restartNumberingAfterBreak="0">
    <w:nsid w:val="436C3889"/>
    <w:multiLevelType w:val="hybridMultilevel"/>
    <w:tmpl w:val="227C52CC"/>
    <w:lvl w:ilvl="0" w:tplc="02560D98">
      <w:start w:val="1"/>
      <w:numFmt w:val="lowerRoman"/>
      <w:lvlText w:val="%1."/>
      <w:lvlJc w:val="left"/>
      <w:pPr>
        <w:ind w:left="1440" w:hanging="720"/>
      </w:pPr>
      <w:rPr>
        <w:rFonts w:hint="default"/>
      </w:rPr>
    </w:lvl>
    <w:lvl w:ilvl="1" w:tplc="35963106">
      <w:start w:val="27"/>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64459E7"/>
    <w:multiLevelType w:val="hybridMultilevel"/>
    <w:tmpl w:val="1982D3FC"/>
    <w:lvl w:ilvl="0" w:tplc="21F29F2E">
      <w:start w:val="3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47375393"/>
    <w:multiLevelType w:val="hybridMultilevel"/>
    <w:tmpl w:val="09F2CFF6"/>
    <w:lvl w:ilvl="0" w:tplc="04090003">
      <w:start w:val="1"/>
      <w:numFmt w:val="bullet"/>
      <w:lvlText w:val="o"/>
      <w:lvlJc w:val="left"/>
      <w:pPr>
        <w:tabs>
          <w:tab w:val="num" w:pos="1080"/>
        </w:tabs>
        <w:ind w:left="1080" w:hanging="360"/>
      </w:pPr>
      <w:rPr>
        <w:rFonts w:ascii="Courier New" w:hAnsi="Courier New" w:cs="Courier New" w:hint="default"/>
      </w:rPr>
    </w:lvl>
    <w:lvl w:ilvl="1" w:tplc="0409000B">
      <w:start w:val="1"/>
      <w:numFmt w:val="bullet"/>
      <w:lvlText w:val=""/>
      <w:lvlJc w:val="left"/>
      <w:pPr>
        <w:tabs>
          <w:tab w:val="num" w:pos="1800"/>
        </w:tabs>
        <w:ind w:left="1800" w:hanging="360"/>
      </w:pPr>
      <w:rPr>
        <w:rFonts w:ascii="Wingdings" w:hAnsi="Wingdings"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486F041F"/>
    <w:multiLevelType w:val="hybridMultilevel"/>
    <w:tmpl w:val="85822AE8"/>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9AA44D9"/>
    <w:multiLevelType w:val="hybridMultilevel"/>
    <w:tmpl w:val="1CCE8A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945B5D"/>
    <w:multiLevelType w:val="hybridMultilevel"/>
    <w:tmpl w:val="72EC5FEC"/>
    <w:lvl w:ilvl="0" w:tplc="9A84324A">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972F6F"/>
    <w:multiLevelType w:val="hybridMultilevel"/>
    <w:tmpl w:val="F5043AAA"/>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0296E22"/>
    <w:multiLevelType w:val="hybridMultilevel"/>
    <w:tmpl w:val="7C6E23DA"/>
    <w:lvl w:ilvl="0" w:tplc="04090017">
      <w:start w:val="1"/>
      <w:numFmt w:val="low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1" w15:restartNumberingAfterBreak="0">
    <w:nsid w:val="51766CC7"/>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2" w15:restartNumberingAfterBreak="0">
    <w:nsid w:val="568D2223"/>
    <w:multiLevelType w:val="hybridMultilevel"/>
    <w:tmpl w:val="6FF8DD0E"/>
    <w:lvl w:ilvl="0" w:tplc="8DB4BC4E">
      <w:start w:val="1"/>
      <w:numFmt w:val="lowerRoman"/>
      <w:lvlText w:val="%1."/>
      <w:lvlJc w:val="right"/>
      <w:pPr>
        <w:tabs>
          <w:tab w:val="num" w:pos="1440"/>
        </w:tabs>
        <w:ind w:left="720" w:hanging="144"/>
      </w:pPr>
      <w:rPr>
        <w:rFonts w:hint="default"/>
      </w:rPr>
    </w:lvl>
    <w:lvl w:ilvl="1" w:tplc="0409000F">
      <w:start w:val="1"/>
      <w:numFmt w:val="decimal"/>
      <w:lvlText w:val="%2."/>
      <w:lvlJc w:val="left"/>
      <w:pPr>
        <w:tabs>
          <w:tab w:val="num" w:pos="1890"/>
        </w:tabs>
        <w:ind w:left="1890" w:hanging="360"/>
      </w:pPr>
    </w:lvl>
    <w:lvl w:ilvl="2" w:tplc="04090001">
      <w:start w:val="1"/>
      <w:numFmt w:val="bullet"/>
      <w:lvlText w:val=""/>
      <w:lvlJc w:val="left"/>
      <w:pPr>
        <w:tabs>
          <w:tab w:val="num" w:pos="1890"/>
        </w:tabs>
        <w:ind w:left="1890" w:hanging="360"/>
      </w:pPr>
      <w:rPr>
        <w:rFonts w:ascii="Symbol" w:hAnsi="Symbol"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53" w15:restartNumberingAfterBreak="0">
    <w:nsid w:val="57BD39A7"/>
    <w:multiLevelType w:val="hybridMultilevel"/>
    <w:tmpl w:val="977A8EE0"/>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5BC00E01"/>
    <w:multiLevelType w:val="hybridMultilevel"/>
    <w:tmpl w:val="D6ECA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4448CB"/>
    <w:multiLevelType w:val="hybridMultilevel"/>
    <w:tmpl w:val="2E385E5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15:restartNumberingAfterBreak="0">
    <w:nsid w:val="656A5ABE"/>
    <w:multiLevelType w:val="hybridMultilevel"/>
    <w:tmpl w:val="A27603EE"/>
    <w:lvl w:ilvl="0" w:tplc="37BA3438">
      <w:start w:val="1"/>
      <w:numFmt w:val="lowerRoman"/>
      <w:lvlText w:val="%1."/>
      <w:lvlJc w:val="right"/>
      <w:pPr>
        <w:tabs>
          <w:tab w:val="num" w:pos="720"/>
        </w:tabs>
        <w:ind w:left="720" w:hanging="144"/>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6F340F9"/>
    <w:multiLevelType w:val="hybridMultilevel"/>
    <w:tmpl w:val="FD3A1DD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7742605"/>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9" w15:restartNumberingAfterBreak="0">
    <w:nsid w:val="683330F8"/>
    <w:multiLevelType w:val="hybridMultilevel"/>
    <w:tmpl w:val="663EEF8C"/>
    <w:lvl w:ilvl="0" w:tplc="6532A744">
      <w:start w:val="17"/>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0" w15:restartNumberingAfterBreak="0">
    <w:nsid w:val="69467DB4"/>
    <w:multiLevelType w:val="hybridMultilevel"/>
    <w:tmpl w:val="2BFCB4C8"/>
    <w:lvl w:ilvl="0" w:tplc="8B42C8DC">
      <w:start w:val="5"/>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1" w15:restartNumberingAfterBreak="0">
    <w:nsid w:val="69D01C37"/>
    <w:multiLevelType w:val="hybridMultilevel"/>
    <w:tmpl w:val="2E94336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170"/>
        </w:tabs>
        <w:ind w:left="1170" w:hanging="360"/>
      </w:pPr>
    </w:lvl>
    <w:lvl w:ilvl="2" w:tplc="04090001">
      <w:start w:val="1"/>
      <w:numFmt w:val="bullet"/>
      <w:lvlText w:val=""/>
      <w:lvlJc w:val="left"/>
      <w:pPr>
        <w:tabs>
          <w:tab w:val="num" w:pos="1170"/>
        </w:tabs>
        <w:ind w:left="1170" w:hanging="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6A383D95"/>
    <w:multiLevelType w:val="hybridMultilevel"/>
    <w:tmpl w:val="55EA589A"/>
    <w:lvl w:ilvl="0" w:tplc="434657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D1B76A9"/>
    <w:multiLevelType w:val="hybridMultilevel"/>
    <w:tmpl w:val="5C1E6B80"/>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15:restartNumberingAfterBreak="0">
    <w:nsid w:val="6D1F12AD"/>
    <w:multiLevelType w:val="hybridMultilevel"/>
    <w:tmpl w:val="D2243988"/>
    <w:lvl w:ilvl="0" w:tplc="9432D84E">
      <w:start w:val="20"/>
      <w:numFmt w:val="decimal"/>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15:restartNumberingAfterBreak="0">
    <w:nsid w:val="6D604AA8"/>
    <w:multiLevelType w:val="hybridMultilevel"/>
    <w:tmpl w:val="AC1418F0"/>
    <w:lvl w:ilvl="0" w:tplc="04090015">
      <w:start w:val="1"/>
      <w:numFmt w:val="upperLetter"/>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E1D10DF"/>
    <w:multiLevelType w:val="hybridMultilevel"/>
    <w:tmpl w:val="0CD0D992"/>
    <w:lvl w:ilvl="0" w:tplc="2C7AC772">
      <w:start w:val="1"/>
      <w:numFmt w:val="lowerRoman"/>
      <w:lvlText w:val="%1."/>
      <w:lvlJc w:val="right"/>
      <w:pPr>
        <w:tabs>
          <w:tab w:val="num" w:pos="720"/>
        </w:tabs>
        <w:ind w:left="720" w:hanging="144"/>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1732AF4"/>
    <w:multiLevelType w:val="hybridMultilevel"/>
    <w:tmpl w:val="64F48052"/>
    <w:lvl w:ilvl="0" w:tplc="27F8CA1C">
      <w:start w:val="1"/>
      <w:numFmt w:val="decimal"/>
      <w:lvlText w:val="%1."/>
      <w:lvlJc w:val="left"/>
      <w:pPr>
        <w:tabs>
          <w:tab w:val="num" w:pos="360"/>
        </w:tabs>
        <w:ind w:left="360" w:hanging="360"/>
      </w:pPr>
      <w:rPr>
        <w:color w:val="auto"/>
      </w:rPr>
    </w:lvl>
    <w:lvl w:ilvl="1" w:tplc="58D8E75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71C303CE"/>
    <w:multiLevelType w:val="hybridMultilevel"/>
    <w:tmpl w:val="36721F5E"/>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9" w15:restartNumberingAfterBreak="0">
    <w:nsid w:val="775F5A6F"/>
    <w:multiLevelType w:val="hybridMultilevel"/>
    <w:tmpl w:val="54B61CBC"/>
    <w:lvl w:ilvl="0" w:tplc="D47E9610">
      <w:start w:val="1"/>
      <w:numFmt w:val="lowerRoman"/>
      <w:lvlText w:val="%1."/>
      <w:lvlJc w:val="right"/>
      <w:pPr>
        <w:tabs>
          <w:tab w:val="num" w:pos="936"/>
        </w:tabs>
        <w:ind w:left="720"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7971EF8"/>
    <w:multiLevelType w:val="hybridMultilevel"/>
    <w:tmpl w:val="568CB5E6"/>
    <w:lvl w:ilvl="0" w:tplc="7AA8EF5C">
      <w:start w:val="4"/>
      <w:numFmt w:val="lowerRoman"/>
      <w:lvlText w:val="%1."/>
      <w:lvlJc w:val="right"/>
      <w:pPr>
        <w:ind w:left="1445" w:hanging="360"/>
      </w:pPr>
      <w:rPr>
        <w:rFonts w:hint="default"/>
      </w:r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71" w15:restartNumberingAfterBreak="0">
    <w:nsid w:val="795E6289"/>
    <w:multiLevelType w:val="hybridMultilevel"/>
    <w:tmpl w:val="64F48052"/>
    <w:lvl w:ilvl="0" w:tplc="27F8CA1C">
      <w:start w:val="1"/>
      <w:numFmt w:val="decimal"/>
      <w:lvlText w:val="%1."/>
      <w:lvlJc w:val="left"/>
      <w:pPr>
        <w:tabs>
          <w:tab w:val="num" w:pos="360"/>
        </w:tabs>
        <w:ind w:left="360" w:hanging="360"/>
      </w:pPr>
      <w:rPr>
        <w:color w:val="auto"/>
      </w:rPr>
    </w:lvl>
    <w:lvl w:ilvl="1" w:tplc="58D8E754">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15:restartNumberingAfterBreak="0">
    <w:nsid w:val="7AD522F5"/>
    <w:multiLevelType w:val="hybridMultilevel"/>
    <w:tmpl w:val="CE5AECE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3" w15:restartNumberingAfterBreak="0">
    <w:nsid w:val="7BD74CDA"/>
    <w:multiLevelType w:val="hybridMultilevel"/>
    <w:tmpl w:val="02AAB532"/>
    <w:lvl w:ilvl="0" w:tplc="4D541604">
      <w:start w:val="5"/>
      <w:numFmt w:val="lowerRoman"/>
      <w:lvlText w:val="%1."/>
      <w:lvlJc w:val="left"/>
      <w:pPr>
        <w:ind w:left="1440" w:hanging="720"/>
      </w:pPr>
      <w:rPr>
        <w:rFonts w:hint="default"/>
      </w:rPr>
    </w:lvl>
    <w:lvl w:ilvl="1" w:tplc="35963106">
      <w:start w:val="27"/>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DDB1287"/>
    <w:multiLevelType w:val="hybridMultilevel"/>
    <w:tmpl w:val="CE288804"/>
    <w:lvl w:ilvl="0" w:tplc="04090015">
      <w:start w:val="1"/>
      <w:numFmt w:val="upperLetter"/>
      <w:lvlText w:val="%1."/>
      <w:lvlJc w:val="left"/>
      <w:pPr>
        <w:tabs>
          <w:tab w:val="num" w:pos="360"/>
        </w:tabs>
        <w:ind w:left="360" w:hanging="360"/>
      </w:pPr>
      <w:rPr>
        <w:rFonts w:hint="default"/>
      </w:rPr>
    </w:lvl>
    <w:lvl w:ilvl="1" w:tplc="0409000F">
      <w:start w:val="1"/>
      <w:numFmt w:val="decimal"/>
      <w:lvlText w:val="%2."/>
      <w:lvlJc w:val="left"/>
      <w:pPr>
        <w:tabs>
          <w:tab w:val="num" w:pos="810"/>
        </w:tabs>
        <w:ind w:left="810" w:hanging="360"/>
      </w:pPr>
    </w:lvl>
    <w:lvl w:ilvl="2" w:tplc="04090001">
      <w:start w:val="1"/>
      <w:numFmt w:val="bullet"/>
      <w:lvlText w:val=""/>
      <w:lvlJc w:val="left"/>
      <w:pPr>
        <w:tabs>
          <w:tab w:val="num" w:pos="810"/>
        </w:tabs>
        <w:ind w:left="810" w:hanging="36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5" w15:restartNumberingAfterBreak="0">
    <w:nsid w:val="7FB4771A"/>
    <w:multiLevelType w:val="hybridMultilevel"/>
    <w:tmpl w:val="F60AA090"/>
    <w:lvl w:ilvl="0" w:tplc="E48A374E">
      <w:start w:val="1"/>
      <w:numFmt w:val="lowerRoman"/>
      <w:lvlText w:val="%1."/>
      <w:lvlJc w:val="right"/>
      <w:pPr>
        <w:ind w:left="720" w:hanging="14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1"/>
  </w:num>
  <w:num w:numId="3">
    <w:abstractNumId w:val="39"/>
  </w:num>
  <w:num w:numId="4">
    <w:abstractNumId w:val="65"/>
  </w:num>
  <w:num w:numId="5">
    <w:abstractNumId w:val="17"/>
  </w:num>
  <w:num w:numId="6">
    <w:abstractNumId w:val="55"/>
  </w:num>
  <w:num w:numId="7">
    <w:abstractNumId w:val="8"/>
  </w:num>
  <w:num w:numId="8">
    <w:abstractNumId w:val="42"/>
  </w:num>
  <w:num w:numId="9">
    <w:abstractNumId w:val="52"/>
  </w:num>
  <w:num w:numId="10">
    <w:abstractNumId w:val="32"/>
  </w:num>
  <w:num w:numId="11">
    <w:abstractNumId w:val="72"/>
  </w:num>
  <w:num w:numId="12">
    <w:abstractNumId w:val="50"/>
  </w:num>
  <w:num w:numId="13">
    <w:abstractNumId w:val="40"/>
  </w:num>
  <w:num w:numId="14">
    <w:abstractNumId w:val="19"/>
  </w:num>
  <w:num w:numId="15">
    <w:abstractNumId w:val="57"/>
  </w:num>
  <w:num w:numId="16">
    <w:abstractNumId w:val="10"/>
  </w:num>
  <w:num w:numId="17">
    <w:abstractNumId w:val="59"/>
  </w:num>
  <w:num w:numId="18">
    <w:abstractNumId w:val="45"/>
  </w:num>
  <w:num w:numId="19">
    <w:abstractNumId w:val="71"/>
  </w:num>
  <w:num w:numId="20">
    <w:abstractNumId w:val="44"/>
  </w:num>
  <w:num w:numId="21">
    <w:abstractNumId w:val="64"/>
  </w:num>
  <w:num w:numId="22">
    <w:abstractNumId w:val="31"/>
  </w:num>
  <w:num w:numId="23">
    <w:abstractNumId w:val="60"/>
  </w:num>
  <w:num w:numId="24">
    <w:abstractNumId w:val="61"/>
  </w:num>
  <w:num w:numId="25">
    <w:abstractNumId w:val="30"/>
  </w:num>
  <w:num w:numId="26">
    <w:abstractNumId w:val="9"/>
  </w:num>
  <w:num w:numId="27">
    <w:abstractNumId w:val="6"/>
  </w:num>
  <w:num w:numId="28">
    <w:abstractNumId w:val="67"/>
  </w:num>
  <w:num w:numId="29">
    <w:abstractNumId w:val="21"/>
  </w:num>
  <w:num w:numId="30">
    <w:abstractNumId w:val="24"/>
  </w:num>
  <w:num w:numId="31">
    <w:abstractNumId w:val="75"/>
  </w:num>
  <w:num w:numId="32">
    <w:abstractNumId w:val="22"/>
  </w:num>
  <w:num w:numId="33">
    <w:abstractNumId w:val="66"/>
  </w:num>
  <w:num w:numId="34">
    <w:abstractNumId w:val="54"/>
  </w:num>
  <w:num w:numId="35">
    <w:abstractNumId w:val="5"/>
  </w:num>
  <w:num w:numId="36">
    <w:abstractNumId w:val="56"/>
  </w:num>
  <w:num w:numId="37">
    <w:abstractNumId w:val="4"/>
  </w:num>
  <w:num w:numId="38">
    <w:abstractNumId w:val="34"/>
  </w:num>
  <w:num w:numId="39">
    <w:abstractNumId w:val="20"/>
  </w:num>
  <w:num w:numId="40">
    <w:abstractNumId w:val="11"/>
  </w:num>
  <w:num w:numId="41">
    <w:abstractNumId w:val="33"/>
  </w:num>
  <w:num w:numId="42">
    <w:abstractNumId w:val="53"/>
  </w:num>
  <w:num w:numId="43">
    <w:abstractNumId w:val="15"/>
  </w:num>
  <w:num w:numId="44">
    <w:abstractNumId w:val="3"/>
  </w:num>
  <w:num w:numId="45">
    <w:abstractNumId w:val="2"/>
  </w:num>
  <w:num w:numId="46">
    <w:abstractNumId w:val="36"/>
  </w:num>
  <w:num w:numId="47">
    <w:abstractNumId w:val="0"/>
  </w:num>
  <w:num w:numId="48">
    <w:abstractNumId w:val="25"/>
  </w:num>
  <w:num w:numId="49">
    <w:abstractNumId w:val="1"/>
  </w:num>
  <w:num w:numId="50">
    <w:abstractNumId w:val="13"/>
  </w:num>
  <w:num w:numId="51">
    <w:abstractNumId w:val="47"/>
  </w:num>
  <w:num w:numId="52">
    <w:abstractNumId w:val="62"/>
  </w:num>
  <w:num w:numId="53">
    <w:abstractNumId w:val="68"/>
  </w:num>
  <w:num w:numId="54">
    <w:abstractNumId w:val="63"/>
  </w:num>
  <w:num w:numId="55">
    <w:abstractNumId w:val="27"/>
  </w:num>
  <w:num w:numId="56">
    <w:abstractNumId w:val="29"/>
  </w:num>
  <w:num w:numId="57">
    <w:abstractNumId w:val="58"/>
  </w:num>
  <w:num w:numId="58">
    <w:abstractNumId w:val="12"/>
  </w:num>
  <w:num w:numId="59">
    <w:abstractNumId w:val="74"/>
  </w:num>
  <w:num w:numId="60">
    <w:abstractNumId w:val="14"/>
  </w:num>
  <w:num w:numId="61">
    <w:abstractNumId w:val="38"/>
  </w:num>
  <w:num w:numId="62">
    <w:abstractNumId w:val="23"/>
  </w:num>
  <w:num w:numId="63">
    <w:abstractNumId w:val="18"/>
  </w:num>
  <w:num w:numId="64">
    <w:abstractNumId w:val="37"/>
  </w:num>
  <w:num w:numId="65">
    <w:abstractNumId w:val="46"/>
  </w:num>
  <w:num w:numId="66">
    <w:abstractNumId w:val="49"/>
  </w:num>
  <w:num w:numId="67">
    <w:abstractNumId w:val="69"/>
  </w:num>
  <w:num w:numId="68">
    <w:abstractNumId w:val="48"/>
  </w:num>
  <w:num w:numId="69">
    <w:abstractNumId w:val="35"/>
  </w:num>
  <w:num w:numId="70">
    <w:abstractNumId w:val="51"/>
  </w:num>
  <w:num w:numId="71">
    <w:abstractNumId w:val="16"/>
  </w:num>
  <w:num w:numId="72">
    <w:abstractNumId w:val="43"/>
  </w:num>
  <w:num w:numId="73">
    <w:abstractNumId w:val="73"/>
  </w:num>
  <w:num w:numId="74">
    <w:abstractNumId w:val="70"/>
  </w:num>
  <w:num w:numId="75">
    <w:abstractNumId w:val="26"/>
  </w:num>
  <w:num w:numId="76">
    <w:abstractNumId w:val="2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C09"/>
    <w:rsid w:val="000052E0"/>
    <w:rsid w:val="000077F5"/>
    <w:rsid w:val="000113E9"/>
    <w:rsid w:val="00012F1D"/>
    <w:rsid w:val="000139F2"/>
    <w:rsid w:val="00013BAF"/>
    <w:rsid w:val="0001448D"/>
    <w:rsid w:val="00014B6D"/>
    <w:rsid w:val="000152FD"/>
    <w:rsid w:val="000209C0"/>
    <w:rsid w:val="000213E1"/>
    <w:rsid w:val="00021626"/>
    <w:rsid w:val="00023AF8"/>
    <w:rsid w:val="00032942"/>
    <w:rsid w:val="000335EB"/>
    <w:rsid w:val="0003432E"/>
    <w:rsid w:val="00037856"/>
    <w:rsid w:val="00040061"/>
    <w:rsid w:val="000414DB"/>
    <w:rsid w:val="00044745"/>
    <w:rsid w:val="000447BE"/>
    <w:rsid w:val="00044BC0"/>
    <w:rsid w:val="00044F11"/>
    <w:rsid w:val="00045251"/>
    <w:rsid w:val="00045882"/>
    <w:rsid w:val="00045A66"/>
    <w:rsid w:val="00045CFE"/>
    <w:rsid w:val="0005023F"/>
    <w:rsid w:val="00050483"/>
    <w:rsid w:val="0006204B"/>
    <w:rsid w:val="000641C6"/>
    <w:rsid w:val="0007118A"/>
    <w:rsid w:val="0007377F"/>
    <w:rsid w:val="00074446"/>
    <w:rsid w:val="00074C0E"/>
    <w:rsid w:val="00074E17"/>
    <w:rsid w:val="00080501"/>
    <w:rsid w:val="00085B05"/>
    <w:rsid w:val="000905B3"/>
    <w:rsid w:val="00091088"/>
    <w:rsid w:val="0009149A"/>
    <w:rsid w:val="00092367"/>
    <w:rsid w:val="00094945"/>
    <w:rsid w:val="00096C77"/>
    <w:rsid w:val="000A1511"/>
    <w:rsid w:val="000A15A5"/>
    <w:rsid w:val="000A1C74"/>
    <w:rsid w:val="000B0233"/>
    <w:rsid w:val="000B20BA"/>
    <w:rsid w:val="000B7B0D"/>
    <w:rsid w:val="000C0544"/>
    <w:rsid w:val="000C0840"/>
    <w:rsid w:val="000C4DF8"/>
    <w:rsid w:val="000C58A7"/>
    <w:rsid w:val="000D3BBC"/>
    <w:rsid w:val="000D4733"/>
    <w:rsid w:val="000D5B24"/>
    <w:rsid w:val="000D7CA5"/>
    <w:rsid w:val="000E1194"/>
    <w:rsid w:val="000E1CFA"/>
    <w:rsid w:val="000E675B"/>
    <w:rsid w:val="000F2B63"/>
    <w:rsid w:val="000F5F61"/>
    <w:rsid w:val="000F6350"/>
    <w:rsid w:val="000F7B24"/>
    <w:rsid w:val="00104EE8"/>
    <w:rsid w:val="00106091"/>
    <w:rsid w:val="001104CC"/>
    <w:rsid w:val="00112C09"/>
    <w:rsid w:val="00113BA7"/>
    <w:rsid w:val="00114F79"/>
    <w:rsid w:val="00116ACC"/>
    <w:rsid w:val="00122CCE"/>
    <w:rsid w:val="00123E29"/>
    <w:rsid w:val="00124846"/>
    <w:rsid w:val="00127DDF"/>
    <w:rsid w:val="001309C8"/>
    <w:rsid w:val="00132A12"/>
    <w:rsid w:val="00132BBC"/>
    <w:rsid w:val="00132C52"/>
    <w:rsid w:val="001338F5"/>
    <w:rsid w:val="00133A56"/>
    <w:rsid w:val="00134ACA"/>
    <w:rsid w:val="0013510F"/>
    <w:rsid w:val="001359BF"/>
    <w:rsid w:val="00137683"/>
    <w:rsid w:val="00137FEC"/>
    <w:rsid w:val="00140694"/>
    <w:rsid w:val="00141FA6"/>
    <w:rsid w:val="001421A8"/>
    <w:rsid w:val="001454A4"/>
    <w:rsid w:val="0014781A"/>
    <w:rsid w:val="00150CFC"/>
    <w:rsid w:val="001518BB"/>
    <w:rsid w:val="00156DE8"/>
    <w:rsid w:val="00157DED"/>
    <w:rsid w:val="00161C27"/>
    <w:rsid w:val="001627D5"/>
    <w:rsid w:val="001652BB"/>
    <w:rsid w:val="00165EA8"/>
    <w:rsid w:val="00167C21"/>
    <w:rsid w:val="00170E9A"/>
    <w:rsid w:val="00171511"/>
    <w:rsid w:val="00171F23"/>
    <w:rsid w:val="00174E1F"/>
    <w:rsid w:val="00175E7A"/>
    <w:rsid w:val="00180FE2"/>
    <w:rsid w:val="001845EE"/>
    <w:rsid w:val="00184AF4"/>
    <w:rsid w:val="001908C2"/>
    <w:rsid w:val="00190D8F"/>
    <w:rsid w:val="001914FA"/>
    <w:rsid w:val="0019247F"/>
    <w:rsid w:val="00193262"/>
    <w:rsid w:val="001934AF"/>
    <w:rsid w:val="00193752"/>
    <w:rsid w:val="00193E61"/>
    <w:rsid w:val="001951EE"/>
    <w:rsid w:val="00197778"/>
    <w:rsid w:val="001A0830"/>
    <w:rsid w:val="001A0C6B"/>
    <w:rsid w:val="001A5B80"/>
    <w:rsid w:val="001A69A8"/>
    <w:rsid w:val="001B07AE"/>
    <w:rsid w:val="001B34D2"/>
    <w:rsid w:val="001B4CAC"/>
    <w:rsid w:val="001B5897"/>
    <w:rsid w:val="001B5F73"/>
    <w:rsid w:val="001C40B6"/>
    <w:rsid w:val="001C45C2"/>
    <w:rsid w:val="001C5AFA"/>
    <w:rsid w:val="001C6B55"/>
    <w:rsid w:val="001C75F0"/>
    <w:rsid w:val="001C7D13"/>
    <w:rsid w:val="001D2803"/>
    <w:rsid w:val="001D65C0"/>
    <w:rsid w:val="001E5B44"/>
    <w:rsid w:val="001E76F2"/>
    <w:rsid w:val="001F0E6E"/>
    <w:rsid w:val="001F2059"/>
    <w:rsid w:val="001F2870"/>
    <w:rsid w:val="001F332F"/>
    <w:rsid w:val="001F452A"/>
    <w:rsid w:val="001F4CC6"/>
    <w:rsid w:val="001F7F07"/>
    <w:rsid w:val="00204534"/>
    <w:rsid w:val="002066AE"/>
    <w:rsid w:val="00211F85"/>
    <w:rsid w:val="00214718"/>
    <w:rsid w:val="00216CC0"/>
    <w:rsid w:val="00221932"/>
    <w:rsid w:val="00221C71"/>
    <w:rsid w:val="0022226C"/>
    <w:rsid w:val="00222B99"/>
    <w:rsid w:val="00223542"/>
    <w:rsid w:val="00223C6C"/>
    <w:rsid w:val="002269AC"/>
    <w:rsid w:val="00227127"/>
    <w:rsid w:val="00230F9C"/>
    <w:rsid w:val="002313E5"/>
    <w:rsid w:val="00231F20"/>
    <w:rsid w:val="00232A36"/>
    <w:rsid w:val="00233A26"/>
    <w:rsid w:val="00234093"/>
    <w:rsid w:val="00234884"/>
    <w:rsid w:val="00234F0A"/>
    <w:rsid w:val="0023638F"/>
    <w:rsid w:val="00236E56"/>
    <w:rsid w:val="00246F35"/>
    <w:rsid w:val="00253B69"/>
    <w:rsid w:val="00254A13"/>
    <w:rsid w:val="00257199"/>
    <w:rsid w:val="00260139"/>
    <w:rsid w:val="00261601"/>
    <w:rsid w:val="00263767"/>
    <w:rsid w:val="00264308"/>
    <w:rsid w:val="00265C61"/>
    <w:rsid w:val="00267B77"/>
    <w:rsid w:val="00270290"/>
    <w:rsid w:val="002717CE"/>
    <w:rsid w:val="002733E5"/>
    <w:rsid w:val="002802FA"/>
    <w:rsid w:val="00281E36"/>
    <w:rsid w:val="00283A93"/>
    <w:rsid w:val="00284194"/>
    <w:rsid w:val="002844A3"/>
    <w:rsid w:val="0028742C"/>
    <w:rsid w:val="002A0D6F"/>
    <w:rsid w:val="002A1F21"/>
    <w:rsid w:val="002A2CBD"/>
    <w:rsid w:val="002A31C2"/>
    <w:rsid w:val="002B3646"/>
    <w:rsid w:val="002B52B9"/>
    <w:rsid w:val="002B6D70"/>
    <w:rsid w:val="002C4810"/>
    <w:rsid w:val="002C4D7A"/>
    <w:rsid w:val="002C5B04"/>
    <w:rsid w:val="002C6A0C"/>
    <w:rsid w:val="002C71BD"/>
    <w:rsid w:val="002C71F7"/>
    <w:rsid w:val="002C7A17"/>
    <w:rsid w:val="002C7C3A"/>
    <w:rsid w:val="002D4A14"/>
    <w:rsid w:val="002D4E2A"/>
    <w:rsid w:val="002E0BEB"/>
    <w:rsid w:val="002E1FEB"/>
    <w:rsid w:val="002E2C16"/>
    <w:rsid w:val="002E4614"/>
    <w:rsid w:val="002F03C9"/>
    <w:rsid w:val="002F2339"/>
    <w:rsid w:val="002F321B"/>
    <w:rsid w:val="002F44B1"/>
    <w:rsid w:val="002F6183"/>
    <w:rsid w:val="002F67DF"/>
    <w:rsid w:val="002F78E5"/>
    <w:rsid w:val="003009E6"/>
    <w:rsid w:val="00300B27"/>
    <w:rsid w:val="00300CA0"/>
    <w:rsid w:val="0030179F"/>
    <w:rsid w:val="00301E94"/>
    <w:rsid w:val="003057C9"/>
    <w:rsid w:val="00307002"/>
    <w:rsid w:val="003138B1"/>
    <w:rsid w:val="0031415A"/>
    <w:rsid w:val="00317B61"/>
    <w:rsid w:val="0032176A"/>
    <w:rsid w:val="00321806"/>
    <w:rsid w:val="00322A4F"/>
    <w:rsid w:val="003245F5"/>
    <w:rsid w:val="00325C58"/>
    <w:rsid w:val="00327BD8"/>
    <w:rsid w:val="00336628"/>
    <w:rsid w:val="00337B8D"/>
    <w:rsid w:val="00343956"/>
    <w:rsid w:val="003455C5"/>
    <w:rsid w:val="0035088F"/>
    <w:rsid w:val="00354845"/>
    <w:rsid w:val="00355233"/>
    <w:rsid w:val="00356ED4"/>
    <w:rsid w:val="00360777"/>
    <w:rsid w:val="00361B79"/>
    <w:rsid w:val="003651EF"/>
    <w:rsid w:val="00370B8A"/>
    <w:rsid w:val="003727AF"/>
    <w:rsid w:val="00373282"/>
    <w:rsid w:val="0037344C"/>
    <w:rsid w:val="00376027"/>
    <w:rsid w:val="003760F2"/>
    <w:rsid w:val="00377DE0"/>
    <w:rsid w:val="00380F8B"/>
    <w:rsid w:val="003814B2"/>
    <w:rsid w:val="003848DC"/>
    <w:rsid w:val="00385840"/>
    <w:rsid w:val="00385D55"/>
    <w:rsid w:val="003871C7"/>
    <w:rsid w:val="003878EF"/>
    <w:rsid w:val="00391A8E"/>
    <w:rsid w:val="00392002"/>
    <w:rsid w:val="00394FA1"/>
    <w:rsid w:val="00397921"/>
    <w:rsid w:val="003A01EC"/>
    <w:rsid w:val="003A032A"/>
    <w:rsid w:val="003B0325"/>
    <w:rsid w:val="003B1894"/>
    <w:rsid w:val="003B4620"/>
    <w:rsid w:val="003B58F2"/>
    <w:rsid w:val="003B616A"/>
    <w:rsid w:val="003B62A1"/>
    <w:rsid w:val="003B7CFE"/>
    <w:rsid w:val="003C262F"/>
    <w:rsid w:val="003C3434"/>
    <w:rsid w:val="003C50A6"/>
    <w:rsid w:val="003C5B1D"/>
    <w:rsid w:val="003D0E72"/>
    <w:rsid w:val="003D2045"/>
    <w:rsid w:val="003D41B8"/>
    <w:rsid w:val="003D450D"/>
    <w:rsid w:val="003D65C2"/>
    <w:rsid w:val="003E0C2E"/>
    <w:rsid w:val="003E3324"/>
    <w:rsid w:val="003E3850"/>
    <w:rsid w:val="003E4976"/>
    <w:rsid w:val="003E6921"/>
    <w:rsid w:val="003E6AB9"/>
    <w:rsid w:val="003F0E2B"/>
    <w:rsid w:val="003F1620"/>
    <w:rsid w:val="003F6313"/>
    <w:rsid w:val="003F796C"/>
    <w:rsid w:val="00404DDC"/>
    <w:rsid w:val="0040702C"/>
    <w:rsid w:val="00407313"/>
    <w:rsid w:val="004141A1"/>
    <w:rsid w:val="00416075"/>
    <w:rsid w:val="00417C40"/>
    <w:rsid w:val="00420985"/>
    <w:rsid w:val="00420E66"/>
    <w:rsid w:val="00421BF0"/>
    <w:rsid w:val="00425BD7"/>
    <w:rsid w:val="00427735"/>
    <w:rsid w:val="00431EF7"/>
    <w:rsid w:val="004338D6"/>
    <w:rsid w:val="00433FFB"/>
    <w:rsid w:val="00435EF0"/>
    <w:rsid w:val="0043670C"/>
    <w:rsid w:val="004415BB"/>
    <w:rsid w:val="00443A3A"/>
    <w:rsid w:val="00444892"/>
    <w:rsid w:val="00446A9D"/>
    <w:rsid w:val="00447F69"/>
    <w:rsid w:val="00456F60"/>
    <w:rsid w:val="004574EE"/>
    <w:rsid w:val="00457DA8"/>
    <w:rsid w:val="004618C5"/>
    <w:rsid w:val="00462601"/>
    <w:rsid w:val="0046539C"/>
    <w:rsid w:val="00466345"/>
    <w:rsid w:val="004673FD"/>
    <w:rsid w:val="00470EA2"/>
    <w:rsid w:val="00472E78"/>
    <w:rsid w:val="0047487C"/>
    <w:rsid w:val="004755F2"/>
    <w:rsid w:val="00476E61"/>
    <w:rsid w:val="0047710F"/>
    <w:rsid w:val="0048032F"/>
    <w:rsid w:val="00481139"/>
    <w:rsid w:val="0048403F"/>
    <w:rsid w:val="004877C5"/>
    <w:rsid w:val="00487C69"/>
    <w:rsid w:val="00487DBF"/>
    <w:rsid w:val="00492215"/>
    <w:rsid w:val="0049327B"/>
    <w:rsid w:val="004A1304"/>
    <w:rsid w:val="004A301A"/>
    <w:rsid w:val="004A5583"/>
    <w:rsid w:val="004A671E"/>
    <w:rsid w:val="004B2CC7"/>
    <w:rsid w:val="004B2E79"/>
    <w:rsid w:val="004B512F"/>
    <w:rsid w:val="004B5821"/>
    <w:rsid w:val="004B5DAE"/>
    <w:rsid w:val="004C34C3"/>
    <w:rsid w:val="004C3816"/>
    <w:rsid w:val="004C5CA2"/>
    <w:rsid w:val="004D05A7"/>
    <w:rsid w:val="004D0EC6"/>
    <w:rsid w:val="004D5D8E"/>
    <w:rsid w:val="004D7CF5"/>
    <w:rsid w:val="004E27CB"/>
    <w:rsid w:val="004E2D40"/>
    <w:rsid w:val="004E39BC"/>
    <w:rsid w:val="004E5C89"/>
    <w:rsid w:val="004E6A3D"/>
    <w:rsid w:val="004E6C3B"/>
    <w:rsid w:val="004E7B4D"/>
    <w:rsid w:val="004F4E41"/>
    <w:rsid w:val="004F608E"/>
    <w:rsid w:val="004F676F"/>
    <w:rsid w:val="00500B09"/>
    <w:rsid w:val="00501700"/>
    <w:rsid w:val="0050312B"/>
    <w:rsid w:val="00503E23"/>
    <w:rsid w:val="00505613"/>
    <w:rsid w:val="005061BE"/>
    <w:rsid w:val="00507A31"/>
    <w:rsid w:val="00507EB3"/>
    <w:rsid w:val="005113A5"/>
    <w:rsid w:val="00513735"/>
    <w:rsid w:val="00514B22"/>
    <w:rsid w:val="00515773"/>
    <w:rsid w:val="005224A1"/>
    <w:rsid w:val="00523ED7"/>
    <w:rsid w:val="0053056D"/>
    <w:rsid w:val="0053576D"/>
    <w:rsid w:val="00535B07"/>
    <w:rsid w:val="00535F4E"/>
    <w:rsid w:val="00536020"/>
    <w:rsid w:val="00536990"/>
    <w:rsid w:val="00536E2E"/>
    <w:rsid w:val="0054069F"/>
    <w:rsid w:val="00542E19"/>
    <w:rsid w:val="00544422"/>
    <w:rsid w:val="005463DC"/>
    <w:rsid w:val="005476E8"/>
    <w:rsid w:val="005502C3"/>
    <w:rsid w:val="00550F00"/>
    <w:rsid w:val="00550FA2"/>
    <w:rsid w:val="00552893"/>
    <w:rsid w:val="00553958"/>
    <w:rsid w:val="00553B17"/>
    <w:rsid w:val="0055452B"/>
    <w:rsid w:val="0055574A"/>
    <w:rsid w:val="005567ED"/>
    <w:rsid w:val="00557555"/>
    <w:rsid w:val="00557BF8"/>
    <w:rsid w:val="00560FB5"/>
    <w:rsid w:val="0057097A"/>
    <w:rsid w:val="00572FDA"/>
    <w:rsid w:val="00574D1C"/>
    <w:rsid w:val="00576441"/>
    <w:rsid w:val="00577B38"/>
    <w:rsid w:val="005815A5"/>
    <w:rsid w:val="0058338B"/>
    <w:rsid w:val="0058696F"/>
    <w:rsid w:val="0058792F"/>
    <w:rsid w:val="005900EC"/>
    <w:rsid w:val="0059454E"/>
    <w:rsid w:val="005A0DAC"/>
    <w:rsid w:val="005A267A"/>
    <w:rsid w:val="005A3F2C"/>
    <w:rsid w:val="005B0CB1"/>
    <w:rsid w:val="005B343A"/>
    <w:rsid w:val="005B3538"/>
    <w:rsid w:val="005B409F"/>
    <w:rsid w:val="005B5E5D"/>
    <w:rsid w:val="005B6566"/>
    <w:rsid w:val="005C2569"/>
    <w:rsid w:val="005C5FA0"/>
    <w:rsid w:val="005C61A7"/>
    <w:rsid w:val="005D2CD4"/>
    <w:rsid w:val="005D5B17"/>
    <w:rsid w:val="005D6A3D"/>
    <w:rsid w:val="005E0CAB"/>
    <w:rsid w:val="005E123D"/>
    <w:rsid w:val="005E35AD"/>
    <w:rsid w:val="005E3DE8"/>
    <w:rsid w:val="005E56F6"/>
    <w:rsid w:val="005F0BF7"/>
    <w:rsid w:val="005F1FB1"/>
    <w:rsid w:val="005F23DF"/>
    <w:rsid w:val="005F4321"/>
    <w:rsid w:val="005F4C29"/>
    <w:rsid w:val="005F5CFD"/>
    <w:rsid w:val="005F69FF"/>
    <w:rsid w:val="005F7548"/>
    <w:rsid w:val="00600AFA"/>
    <w:rsid w:val="00600D76"/>
    <w:rsid w:val="00603E89"/>
    <w:rsid w:val="00605317"/>
    <w:rsid w:val="00610654"/>
    <w:rsid w:val="006124AE"/>
    <w:rsid w:val="006225CB"/>
    <w:rsid w:val="00622A67"/>
    <w:rsid w:val="0062717A"/>
    <w:rsid w:val="00631E6C"/>
    <w:rsid w:val="00632BE4"/>
    <w:rsid w:val="00632D7B"/>
    <w:rsid w:val="00632DF3"/>
    <w:rsid w:val="006339C9"/>
    <w:rsid w:val="006344D0"/>
    <w:rsid w:val="0063516C"/>
    <w:rsid w:val="00637C46"/>
    <w:rsid w:val="00640662"/>
    <w:rsid w:val="0064082D"/>
    <w:rsid w:val="006418D2"/>
    <w:rsid w:val="00643811"/>
    <w:rsid w:val="006445C7"/>
    <w:rsid w:val="006449A1"/>
    <w:rsid w:val="0064528B"/>
    <w:rsid w:val="00646972"/>
    <w:rsid w:val="006471B0"/>
    <w:rsid w:val="006522CB"/>
    <w:rsid w:val="00653098"/>
    <w:rsid w:val="00655DC1"/>
    <w:rsid w:val="006609FC"/>
    <w:rsid w:val="0066392F"/>
    <w:rsid w:val="0066421F"/>
    <w:rsid w:val="00665F43"/>
    <w:rsid w:val="006662ED"/>
    <w:rsid w:val="00670FAB"/>
    <w:rsid w:val="00672CCC"/>
    <w:rsid w:val="00674C3D"/>
    <w:rsid w:val="006845ED"/>
    <w:rsid w:val="00684C32"/>
    <w:rsid w:val="006873DD"/>
    <w:rsid w:val="00687D96"/>
    <w:rsid w:val="00695ABF"/>
    <w:rsid w:val="00697F7D"/>
    <w:rsid w:val="006A2B07"/>
    <w:rsid w:val="006A3E06"/>
    <w:rsid w:val="006A3E9C"/>
    <w:rsid w:val="006A58D3"/>
    <w:rsid w:val="006B2C94"/>
    <w:rsid w:val="006B2E50"/>
    <w:rsid w:val="006B36DB"/>
    <w:rsid w:val="006B4221"/>
    <w:rsid w:val="006B5E7F"/>
    <w:rsid w:val="006B693F"/>
    <w:rsid w:val="006C2653"/>
    <w:rsid w:val="006C5933"/>
    <w:rsid w:val="006C5E09"/>
    <w:rsid w:val="006C77BE"/>
    <w:rsid w:val="006D37CD"/>
    <w:rsid w:val="006D4518"/>
    <w:rsid w:val="006E31FA"/>
    <w:rsid w:val="006E3E82"/>
    <w:rsid w:val="006E778B"/>
    <w:rsid w:val="006F4132"/>
    <w:rsid w:val="006F4694"/>
    <w:rsid w:val="006F512D"/>
    <w:rsid w:val="00700AB1"/>
    <w:rsid w:val="007017EB"/>
    <w:rsid w:val="00702DB2"/>
    <w:rsid w:val="00705644"/>
    <w:rsid w:val="007070D1"/>
    <w:rsid w:val="007123B8"/>
    <w:rsid w:val="00713150"/>
    <w:rsid w:val="00721946"/>
    <w:rsid w:val="00722D00"/>
    <w:rsid w:val="00723263"/>
    <w:rsid w:val="00727ED6"/>
    <w:rsid w:val="00730358"/>
    <w:rsid w:val="0073390D"/>
    <w:rsid w:val="00733963"/>
    <w:rsid w:val="00734365"/>
    <w:rsid w:val="00736694"/>
    <w:rsid w:val="00737C5C"/>
    <w:rsid w:val="00740670"/>
    <w:rsid w:val="00744493"/>
    <w:rsid w:val="0074504E"/>
    <w:rsid w:val="00745DC6"/>
    <w:rsid w:val="007527FD"/>
    <w:rsid w:val="007538B0"/>
    <w:rsid w:val="00753D3A"/>
    <w:rsid w:val="00754AF0"/>
    <w:rsid w:val="0075617B"/>
    <w:rsid w:val="00756B6E"/>
    <w:rsid w:val="007608B8"/>
    <w:rsid w:val="00764876"/>
    <w:rsid w:val="0077055E"/>
    <w:rsid w:val="007706E2"/>
    <w:rsid w:val="00770BAB"/>
    <w:rsid w:val="00772411"/>
    <w:rsid w:val="00773CBA"/>
    <w:rsid w:val="00776CEC"/>
    <w:rsid w:val="007772C7"/>
    <w:rsid w:val="00777444"/>
    <w:rsid w:val="00781988"/>
    <w:rsid w:val="00783A10"/>
    <w:rsid w:val="007869C4"/>
    <w:rsid w:val="007875F7"/>
    <w:rsid w:val="00794C1B"/>
    <w:rsid w:val="00794E7D"/>
    <w:rsid w:val="007A0852"/>
    <w:rsid w:val="007A24FA"/>
    <w:rsid w:val="007A360D"/>
    <w:rsid w:val="007A5A5B"/>
    <w:rsid w:val="007A7D97"/>
    <w:rsid w:val="007B16D5"/>
    <w:rsid w:val="007B2B9C"/>
    <w:rsid w:val="007B3F3F"/>
    <w:rsid w:val="007B760F"/>
    <w:rsid w:val="007B7A3F"/>
    <w:rsid w:val="007C0431"/>
    <w:rsid w:val="007C3066"/>
    <w:rsid w:val="007C4393"/>
    <w:rsid w:val="007C54E7"/>
    <w:rsid w:val="007C68EA"/>
    <w:rsid w:val="007C7285"/>
    <w:rsid w:val="007C7EE7"/>
    <w:rsid w:val="007D0309"/>
    <w:rsid w:val="007D036F"/>
    <w:rsid w:val="007D19F6"/>
    <w:rsid w:val="007D2CEA"/>
    <w:rsid w:val="007D679A"/>
    <w:rsid w:val="007E0DCB"/>
    <w:rsid w:val="007E18C7"/>
    <w:rsid w:val="007E4F68"/>
    <w:rsid w:val="007E50CE"/>
    <w:rsid w:val="007E7921"/>
    <w:rsid w:val="007F0E74"/>
    <w:rsid w:val="007F1F6B"/>
    <w:rsid w:val="007F37F5"/>
    <w:rsid w:val="00800D9C"/>
    <w:rsid w:val="00800F23"/>
    <w:rsid w:val="008019BC"/>
    <w:rsid w:val="00802794"/>
    <w:rsid w:val="00802B25"/>
    <w:rsid w:val="00803D26"/>
    <w:rsid w:val="00804B89"/>
    <w:rsid w:val="008052FB"/>
    <w:rsid w:val="008105D5"/>
    <w:rsid w:val="00810BB3"/>
    <w:rsid w:val="00811F3C"/>
    <w:rsid w:val="00813285"/>
    <w:rsid w:val="00813826"/>
    <w:rsid w:val="008174C2"/>
    <w:rsid w:val="00820B4D"/>
    <w:rsid w:val="00822C26"/>
    <w:rsid w:val="00823086"/>
    <w:rsid w:val="00823B51"/>
    <w:rsid w:val="0082470A"/>
    <w:rsid w:val="008247EB"/>
    <w:rsid w:val="008253FC"/>
    <w:rsid w:val="0082590F"/>
    <w:rsid w:val="00831518"/>
    <w:rsid w:val="00831B6D"/>
    <w:rsid w:val="00835116"/>
    <w:rsid w:val="00836FB3"/>
    <w:rsid w:val="00836FE4"/>
    <w:rsid w:val="00841BD7"/>
    <w:rsid w:val="00841FBC"/>
    <w:rsid w:val="00843FEA"/>
    <w:rsid w:val="00844734"/>
    <w:rsid w:val="00845BF4"/>
    <w:rsid w:val="008460E0"/>
    <w:rsid w:val="00846309"/>
    <w:rsid w:val="008503A9"/>
    <w:rsid w:val="00850DE4"/>
    <w:rsid w:val="00852A92"/>
    <w:rsid w:val="00854649"/>
    <w:rsid w:val="00856BAF"/>
    <w:rsid w:val="008576B5"/>
    <w:rsid w:val="00860407"/>
    <w:rsid w:val="0086078C"/>
    <w:rsid w:val="00867EF6"/>
    <w:rsid w:val="00871334"/>
    <w:rsid w:val="00871A80"/>
    <w:rsid w:val="00874B9C"/>
    <w:rsid w:val="00875842"/>
    <w:rsid w:val="00880B8E"/>
    <w:rsid w:val="00881553"/>
    <w:rsid w:val="00881E9B"/>
    <w:rsid w:val="008841A4"/>
    <w:rsid w:val="00885A96"/>
    <w:rsid w:val="00890D91"/>
    <w:rsid w:val="00890EB4"/>
    <w:rsid w:val="008929A5"/>
    <w:rsid w:val="008942E1"/>
    <w:rsid w:val="00894EF8"/>
    <w:rsid w:val="0089520E"/>
    <w:rsid w:val="00896B3A"/>
    <w:rsid w:val="00896D31"/>
    <w:rsid w:val="008975C9"/>
    <w:rsid w:val="008A0885"/>
    <w:rsid w:val="008A213D"/>
    <w:rsid w:val="008A22D0"/>
    <w:rsid w:val="008A264D"/>
    <w:rsid w:val="008A4B3A"/>
    <w:rsid w:val="008B011D"/>
    <w:rsid w:val="008B0939"/>
    <w:rsid w:val="008B4611"/>
    <w:rsid w:val="008B7288"/>
    <w:rsid w:val="008C1A0A"/>
    <w:rsid w:val="008C34FB"/>
    <w:rsid w:val="008C53BA"/>
    <w:rsid w:val="008C5C70"/>
    <w:rsid w:val="008C76AF"/>
    <w:rsid w:val="008D412C"/>
    <w:rsid w:val="008D7221"/>
    <w:rsid w:val="008E0A31"/>
    <w:rsid w:val="008E29FA"/>
    <w:rsid w:val="008E4A7D"/>
    <w:rsid w:val="008E4D61"/>
    <w:rsid w:val="008E695E"/>
    <w:rsid w:val="008E7233"/>
    <w:rsid w:val="008F08C5"/>
    <w:rsid w:val="008F5AD4"/>
    <w:rsid w:val="008F7699"/>
    <w:rsid w:val="00902BDD"/>
    <w:rsid w:val="00903CD3"/>
    <w:rsid w:val="00910197"/>
    <w:rsid w:val="009110B5"/>
    <w:rsid w:val="00911954"/>
    <w:rsid w:val="00913639"/>
    <w:rsid w:val="009157D5"/>
    <w:rsid w:val="009171B6"/>
    <w:rsid w:val="0092241F"/>
    <w:rsid w:val="009224CA"/>
    <w:rsid w:val="00930D8A"/>
    <w:rsid w:val="009336EC"/>
    <w:rsid w:val="00937E17"/>
    <w:rsid w:val="00937E63"/>
    <w:rsid w:val="00941F5E"/>
    <w:rsid w:val="00947F79"/>
    <w:rsid w:val="009537C2"/>
    <w:rsid w:val="00953B4A"/>
    <w:rsid w:val="0095506F"/>
    <w:rsid w:val="00956F9C"/>
    <w:rsid w:val="00960C8C"/>
    <w:rsid w:val="00962489"/>
    <w:rsid w:val="0096411C"/>
    <w:rsid w:val="00965E4C"/>
    <w:rsid w:val="00966BD0"/>
    <w:rsid w:val="0096764A"/>
    <w:rsid w:val="00967658"/>
    <w:rsid w:val="009723A4"/>
    <w:rsid w:val="009726A6"/>
    <w:rsid w:val="00974101"/>
    <w:rsid w:val="00980587"/>
    <w:rsid w:val="00985F16"/>
    <w:rsid w:val="0099012F"/>
    <w:rsid w:val="00994BC5"/>
    <w:rsid w:val="00995153"/>
    <w:rsid w:val="00997019"/>
    <w:rsid w:val="009971C8"/>
    <w:rsid w:val="009973D4"/>
    <w:rsid w:val="00997B93"/>
    <w:rsid w:val="00997F32"/>
    <w:rsid w:val="009A37BC"/>
    <w:rsid w:val="009A428D"/>
    <w:rsid w:val="009A5193"/>
    <w:rsid w:val="009A561F"/>
    <w:rsid w:val="009A7256"/>
    <w:rsid w:val="009A7EFC"/>
    <w:rsid w:val="009B2EAD"/>
    <w:rsid w:val="009B3303"/>
    <w:rsid w:val="009B4049"/>
    <w:rsid w:val="009B6143"/>
    <w:rsid w:val="009B6DC0"/>
    <w:rsid w:val="009C01CA"/>
    <w:rsid w:val="009C0BA4"/>
    <w:rsid w:val="009C0BB9"/>
    <w:rsid w:val="009C283F"/>
    <w:rsid w:val="009C2BE3"/>
    <w:rsid w:val="009C57A5"/>
    <w:rsid w:val="009C6872"/>
    <w:rsid w:val="009D0E27"/>
    <w:rsid w:val="009D10A2"/>
    <w:rsid w:val="009D1F76"/>
    <w:rsid w:val="009D5F00"/>
    <w:rsid w:val="009D6C96"/>
    <w:rsid w:val="009D778D"/>
    <w:rsid w:val="009E41CD"/>
    <w:rsid w:val="009E5EE1"/>
    <w:rsid w:val="009E7118"/>
    <w:rsid w:val="009F0144"/>
    <w:rsid w:val="009F102C"/>
    <w:rsid w:val="009F1B3A"/>
    <w:rsid w:val="00A009FA"/>
    <w:rsid w:val="00A02A79"/>
    <w:rsid w:val="00A035D8"/>
    <w:rsid w:val="00A05EC8"/>
    <w:rsid w:val="00A07895"/>
    <w:rsid w:val="00A11F71"/>
    <w:rsid w:val="00A12C2C"/>
    <w:rsid w:val="00A204D9"/>
    <w:rsid w:val="00A21BE3"/>
    <w:rsid w:val="00A222BF"/>
    <w:rsid w:val="00A2621D"/>
    <w:rsid w:val="00A26D59"/>
    <w:rsid w:val="00A278A9"/>
    <w:rsid w:val="00A300A3"/>
    <w:rsid w:val="00A3105A"/>
    <w:rsid w:val="00A346F0"/>
    <w:rsid w:val="00A411B7"/>
    <w:rsid w:val="00A428D7"/>
    <w:rsid w:val="00A43DB3"/>
    <w:rsid w:val="00A444D1"/>
    <w:rsid w:val="00A47853"/>
    <w:rsid w:val="00A54110"/>
    <w:rsid w:val="00A5492D"/>
    <w:rsid w:val="00A54BEA"/>
    <w:rsid w:val="00A5584A"/>
    <w:rsid w:val="00A577A3"/>
    <w:rsid w:val="00A57D1A"/>
    <w:rsid w:val="00A6006E"/>
    <w:rsid w:val="00A646AC"/>
    <w:rsid w:val="00A64B18"/>
    <w:rsid w:val="00A64D0B"/>
    <w:rsid w:val="00A64DC3"/>
    <w:rsid w:val="00A7181D"/>
    <w:rsid w:val="00A7225A"/>
    <w:rsid w:val="00A72C86"/>
    <w:rsid w:val="00A72D1C"/>
    <w:rsid w:val="00A74022"/>
    <w:rsid w:val="00A75194"/>
    <w:rsid w:val="00A76040"/>
    <w:rsid w:val="00A767E0"/>
    <w:rsid w:val="00A8059A"/>
    <w:rsid w:val="00A80682"/>
    <w:rsid w:val="00A838BD"/>
    <w:rsid w:val="00A85B72"/>
    <w:rsid w:val="00A93039"/>
    <w:rsid w:val="00A93216"/>
    <w:rsid w:val="00A9416A"/>
    <w:rsid w:val="00A94341"/>
    <w:rsid w:val="00A94BC5"/>
    <w:rsid w:val="00A95F72"/>
    <w:rsid w:val="00A965B3"/>
    <w:rsid w:val="00A968DF"/>
    <w:rsid w:val="00AA0250"/>
    <w:rsid w:val="00AA11F2"/>
    <w:rsid w:val="00AB18C1"/>
    <w:rsid w:val="00AB1B01"/>
    <w:rsid w:val="00AB23E0"/>
    <w:rsid w:val="00AB76D8"/>
    <w:rsid w:val="00AC21A2"/>
    <w:rsid w:val="00AC28EE"/>
    <w:rsid w:val="00AC59F8"/>
    <w:rsid w:val="00AD0E62"/>
    <w:rsid w:val="00AD2DBE"/>
    <w:rsid w:val="00AE1DA2"/>
    <w:rsid w:val="00AE2708"/>
    <w:rsid w:val="00AE2882"/>
    <w:rsid w:val="00AE3235"/>
    <w:rsid w:val="00AE51DC"/>
    <w:rsid w:val="00AE58DE"/>
    <w:rsid w:val="00AE6506"/>
    <w:rsid w:val="00AF10D8"/>
    <w:rsid w:val="00AF3FFA"/>
    <w:rsid w:val="00B03132"/>
    <w:rsid w:val="00B04DB2"/>
    <w:rsid w:val="00B06E7F"/>
    <w:rsid w:val="00B110DB"/>
    <w:rsid w:val="00B120C7"/>
    <w:rsid w:val="00B12833"/>
    <w:rsid w:val="00B1429B"/>
    <w:rsid w:val="00B162BA"/>
    <w:rsid w:val="00B20427"/>
    <w:rsid w:val="00B22261"/>
    <w:rsid w:val="00B2263B"/>
    <w:rsid w:val="00B23E29"/>
    <w:rsid w:val="00B24559"/>
    <w:rsid w:val="00B25468"/>
    <w:rsid w:val="00B31E7B"/>
    <w:rsid w:val="00B34991"/>
    <w:rsid w:val="00B35DC3"/>
    <w:rsid w:val="00B460C2"/>
    <w:rsid w:val="00B46591"/>
    <w:rsid w:val="00B46E24"/>
    <w:rsid w:val="00B516ED"/>
    <w:rsid w:val="00B53405"/>
    <w:rsid w:val="00B54979"/>
    <w:rsid w:val="00B55007"/>
    <w:rsid w:val="00B55B4C"/>
    <w:rsid w:val="00B61F0A"/>
    <w:rsid w:val="00B62727"/>
    <w:rsid w:val="00B65BBB"/>
    <w:rsid w:val="00B67BC1"/>
    <w:rsid w:val="00B703E6"/>
    <w:rsid w:val="00B716A2"/>
    <w:rsid w:val="00B72C8F"/>
    <w:rsid w:val="00B734BA"/>
    <w:rsid w:val="00B77504"/>
    <w:rsid w:val="00B81852"/>
    <w:rsid w:val="00B81F29"/>
    <w:rsid w:val="00B82056"/>
    <w:rsid w:val="00B829AC"/>
    <w:rsid w:val="00B87C67"/>
    <w:rsid w:val="00B90371"/>
    <w:rsid w:val="00B9239E"/>
    <w:rsid w:val="00B942FD"/>
    <w:rsid w:val="00B946B1"/>
    <w:rsid w:val="00B95451"/>
    <w:rsid w:val="00B968E6"/>
    <w:rsid w:val="00BA3264"/>
    <w:rsid w:val="00BA6440"/>
    <w:rsid w:val="00BB0137"/>
    <w:rsid w:val="00BB1117"/>
    <w:rsid w:val="00BB16F0"/>
    <w:rsid w:val="00BB75FC"/>
    <w:rsid w:val="00BC1A13"/>
    <w:rsid w:val="00BC2804"/>
    <w:rsid w:val="00BC6D3E"/>
    <w:rsid w:val="00BC7A7B"/>
    <w:rsid w:val="00BD0A4B"/>
    <w:rsid w:val="00BD339C"/>
    <w:rsid w:val="00BD4027"/>
    <w:rsid w:val="00BD4593"/>
    <w:rsid w:val="00BE2C9B"/>
    <w:rsid w:val="00BE3050"/>
    <w:rsid w:val="00BE5123"/>
    <w:rsid w:val="00BE5186"/>
    <w:rsid w:val="00BE5336"/>
    <w:rsid w:val="00BE7710"/>
    <w:rsid w:val="00BF0DBF"/>
    <w:rsid w:val="00BF3D61"/>
    <w:rsid w:val="00BF42B9"/>
    <w:rsid w:val="00BF5801"/>
    <w:rsid w:val="00BF6D10"/>
    <w:rsid w:val="00BF7EF6"/>
    <w:rsid w:val="00C0100E"/>
    <w:rsid w:val="00C01A3B"/>
    <w:rsid w:val="00C029BF"/>
    <w:rsid w:val="00C02DF0"/>
    <w:rsid w:val="00C07DCB"/>
    <w:rsid w:val="00C10527"/>
    <w:rsid w:val="00C126FB"/>
    <w:rsid w:val="00C14AFB"/>
    <w:rsid w:val="00C15CDB"/>
    <w:rsid w:val="00C2265C"/>
    <w:rsid w:val="00C22E5D"/>
    <w:rsid w:val="00C23235"/>
    <w:rsid w:val="00C23ECA"/>
    <w:rsid w:val="00C25B14"/>
    <w:rsid w:val="00C271F1"/>
    <w:rsid w:val="00C33638"/>
    <w:rsid w:val="00C36FD3"/>
    <w:rsid w:val="00C373F1"/>
    <w:rsid w:val="00C4007D"/>
    <w:rsid w:val="00C42B6B"/>
    <w:rsid w:val="00C459E5"/>
    <w:rsid w:val="00C471F1"/>
    <w:rsid w:val="00C4773F"/>
    <w:rsid w:val="00C51706"/>
    <w:rsid w:val="00C518A2"/>
    <w:rsid w:val="00C51CE4"/>
    <w:rsid w:val="00C54B58"/>
    <w:rsid w:val="00C5660E"/>
    <w:rsid w:val="00C57ADA"/>
    <w:rsid w:val="00C61F98"/>
    <w:rsid w:val="00C62192"/>
    <w:rsid w:val="00C64060"/>
    <w:rsid w:val="00C65C35"/>
    <w:rsid w:val="00C72C8C"/>
    <w:rsid w:val="00C73888"/>
    <w:rsid w:val="00C73A1A"/>
    <w:rsid w:val="00C7614E"/>
    <w:rsid w:val="00C77982"/>
    <w:rsid w:val="00C77FDD"/>
    <w:rsid w:val="00C8375C"/>
    <w:rsid w:val="00C843F8"/>
    <w:rsid w:val="00C86425"/>
    <w:rsid w:val="00C90C54"/>
    <w:rsid w:val="00C92EC2"/>
    <w:rsid w:val="00C94CA3"/>
    <w:rsid w:val="00CA08D1"/>
    <w:rsid w:val="00CA0B1D"/>
    <w:rsid w:val="00CA118F"/>
    <w:rsid w:val="00CA41CF"/>
    <w:rsid w:val="00CA4265"/>
    <w:rsid w:val="00CB2295"/>
    <w:rsid w:val="00CB32B2"/>
    <w:rsid w:val="00CC004B"/>
    <w:rsid w:val="00CC0078"/>
    <w:rsid w:val="00CC19F9"/>
    <w:rsid w:val="00CC2561"/>
    <w:rsid w:val="00CC33BD"/>
    <w:rsid w:val="00CC4092"/>
    <w:rsid w:val="00CC683F"/>
    <w:rsid w:val="00CC713C"/>
    <w:rsid w:val="00CD2B7E"/>
    <w:rsid w:val="00CD2DF8"/>
    <w:rsid w:val="00CD3422"/>
    <w:rsid w:val="00CD7E92"/>
    <w:rsid w:val="00CF04BC"/>
    <w:rsid w:val="00CF1694"/>
    <w:rsid w:val="00CF1B6C"/>
    <w:rsid w:val="00CF1C03"/>
    <w:rsid w:val="00CF300F"/>
    <w:rsid w:val="00CF3796"/>
    <w:rsid w:val="00CF42D6"/>
    <w:rsid w:val="00CF4FAC"/>
    <w:rsid w:val="00CF5242"/>
    <w:rsid w:val="00D000EA"/>
    <w:rsid w:val="00D00766"/>
    <w:rsid w:val="00D01548"/>
    <w:rsid w:val="00D03162"/>
    <w:rsid w:val="00D065A7"/>
    <w:rsid w:val="00D103DE"/>
    <w:rsid w:val="00D10A2E"/>
    <w:rsid w:val="00D10A46"/>
    <w:rsid w:val="00D11A11"/>
    <w:rsid w:val="00D12AA8"/>
    <w:rsid w:val="00D21BD6"/>
    <w:rsid w:val="00D262B8"/>
    <w:rsid w:val="00D27096"/>
    <w:rsid w:val="00D27C3C"/>
    <w:rsid w:val="00D27FDA"/>
    <w:rsid w:val="00D31227"/>
    <w:rsid w:val="00D31A50"/>
    <w:rsid w:val="00D33CEE"/>
    <w:rsid w:val="00D346B6"/>
    <w:rsid w:val="00D37FDA"/>
    <w:rsid w:val="00D40997"/>
    <w:rsid w:val="00D40DD2"/>
    <w:rsid w:val="00D421B0"/>
    <w:rsid w:val="00D43893"/>
    <w:rsid w:val="00D445FC"/>
    <w:rsid w:val="00D52010"/>
    <w:rsid w:val="00D546F6"/>
    <w:rsid w:val="00D55B5C"/>
    <w:rsid w:val="00D57A04"/>
    <w:rsid w:val="00D614B0"/>
    <w:rsid w:val="00D624B1"/>
    <w:rsid w:val="00D642DD"/>
    <w:rsid w:val="00D66551"/>
    <w:rsid w:val="00D67DED"/>
    <w:rsid w:val="00D73386"/>
    <w:rsid w:val="00D765ED"/>
    <w:rsid w:val="00D770FC"/>
    <w:rsid w:val="00D814B2"/>
    <w:rsid w:val="00D821FA"/>
    <w:rsid w:val="00D82692"/>
    <w:rsid w:val="00D845BB"/>
    <w:rsid w:val="00D86AB7"/>
    <w:rsid w:val="00D96BB0"/>
    <w:rsid w:val="00DA1D83"/>
    <w:rsid w:val="00DA3E94"/>
    <w:rsid w:val="00DA40D6"/>
    <w:rsid w:val="00DA57A3"/>
    <w:rsid w:val="00DA659A"/>
    <w:rsid w:val="00DB3322"/>
    <w:rsid w:val="00DB4AD8"/>
    <w:rsid w:val="00DB78F0"/>
    <w:rsid w:val="00DC0947"/>
    <w:rsid w:val="00DC0A1F"/>
    <w:rsid w:val="00DC1ED5"/>
    <w:rsid w:val="00DC4653"/>
    <w:rsid w:val="00DC61EE"/>
    <w:rsid w:val="00DC6DD4"/>
    <w:rsid w:val="00DD02AC"/>
    <w:rsid w:val="00DD0996"/>
    <w:rsid w:val="00DD1FD3"/>
    <w:rsid w:val="00DD3B17"/>
    <w:rsid w:val="00DD55C7"/>
    <w:rsid w:val="00DD59B8"/>
    <w:rsid w:val="00DD64FB"/>
    <w:rsid w:val="00DE0F80"/>
    <w:rsid w:val="00DE40F0"/>
    <w:rsid w:val="00DE6ADB"/>
    <w:rsid w:val="00DE7729"/>
    <w:rsid w:val="00DF2A53"/>
    <w:rsid w:val="00DF44BE"/>
    <w:rsid w:val="00DF6B08"/>
    <w:rsid w:val="00E01814"/>
    <w:rsid w:val="00E06B3E"/>
    <w:rsid w:val="00E100BF"/>
    <w:rsid w:val="00E104D4"/>
    <w:rsid w:val="00E1065E"/>
    <w:rsid w:val="00E113EC"/>
    <w:rsid w:val="00E11580"/>
    <w:rsid w:val="00E1352C"/>
    <w:rsid w:val="00E141DB"/>
    <w:rsid w:val="00E15450"/>
    <w:rsid w:val="00E160CE"/>
    <w:rsid w:val="00E219BA"/>
    <w:rsid w:val="00E2295B"/>
    <w:rsid w:val="00E22C59"/>
    <w:rsid w:val="00E22D3C"/>
    <w:rsid w:val="00E2502B"/>
    <w:rsid w:val="00E2766C"/>
    <w:rsid w:val="00E27F19"/>
    <w:rsid w:val="00E32B95"/>
    <w:rsid w:val="00E3790A"/>
    <w:rsid w:val="00E37A93"/>
    <w:rsid w:val="00E41AE9"/>
    <w:rsid w:val="00E41F05"/>
    <w:rsid w:val="00E43BA5"/>
    <w:rsid w:val="00E45CCD"/>
    <w:rsid w:val="00E45F9E"/>
    <w:rsid w:val="00E45FD5"/>
    <w:rsid w:val="00E47583"/>
    <w:rsid w:val="00E52253"/>
    <w:rsid w:val="00E52779"/>
    <w:rsid w:val="00E54043"/>
    <w:rsid w:val="00E54D2B"/>
    <w:rsid w:val="00E558C1"/>
    <w:rsid w:val="00E56775"/>
    <w:rsid w:val="00E574CA"/>
    <w:rsid w:val="00E604F5"/>
    <w:rsid w:val="00E66070"/>
    <w:rsid w:val="00E66261"/>
    <w:rsid w:val="00E75E48"/>
    <w:rsid w:val="00E76422"/>
    <w:rsid w:val="00E8572A"/>
    <w:rsid w:val="00E95C37"/>
    <w:rsid w:val="00E97756"/>
    <w:rsid w:val="00E9788E"/>
    <w:rsid w:val="00EA42F6"/>
    <w:rsid w:val="00EA448C"/>
    <w:rsid w:val="00EA48D7"/>
    <w:rsid w:val="00EB05AB"/>
    <w:rsid w:val="00EB578B"/>
    <w:rsid w:val="00EC017C"/>
    <w:rsid w:val="00EC0512"/>
    <w:rsid w:val="00EC1450"/>
    <w:rsid w:val="00EC2715"/>
    <w:rsid w:val="00EC3C14"/>
    <w:rsid w:val="00EC57E9"/>
    <w:rsid w:val="00ED228B"/>
    <w:rsid w:val="00ED22D3"/>
    <w:rsid w:val="00ED29A2"/>
    <w:rsid w:val="00ED45E9"/>
    <w:rsid w:val="00ED56F8"/>
    <w:rsid w:val="00ED6F2F"/>
    <w:rsid w:val="00ED74D2"/>
    <w:rsid w:val="00EE1B82"/>
    <w:rsid w:val="00EE1BCA"/>
    <w:rsid w:val="00EE2DB4"/>
    <w:rsid w:val="00EE4A2D"/>
    <w:rsid w:val="00EE78FA"/>
    <w:rsid w:val="00F023D9"/>
    <w:rsid w:val="00F04512"/>
    <w:rsid w:val="00F11543"/>
    <w:rsid w:val="00F16420"/>
    <w:rsid w:val="00F176CD"/>
    <w:rsid w:val="00F17B7B"/>
    <w:rsid w:val="00F21EFA"/>
    <w:rsid w:val="00F247D2"/>
    <w:rsid w:val="00F30F1B"/>
    <w:rsid w:val="00F32806"/>
    <w:rsid w:val="00F32B2C"/>
    <w:rsid w:val="00F32DBC"/>
    <w:rsid w:val="00F35EF7"/>
    <w:rsid w:val="00F3736E"/>
    <w:rsid w:val="00F413A5"/>
    <w:rsid w:val="00F434F7"/>
    <w:rsid w:val="00F44672"/>
    <w:rsid w:val="00F47155"/>
    <w:rsid w:val="00F51CFC"/>
    <w:rsid w:val="00F52658"/>
    <w:rsid w:val="00F5394D"/>
    <w:rsid w:val="00F56E46"/>
    <w:rsid w:val="00F66670"/>
    <w:rsid w:val="00F672A4"/>
    <w:rsid w:val="00F674A5"/>
    <w:rsid w:val="00F674E9"/>
    <w:rsid w:val="00F67664"/>
    <w:rsid w:val="00F70499"/>
    <w:rsid w:val="00F711B8"/>
    <w:rsid w:val="00F734A5"/>
    <w:rsid w:val="00F7479A"/>
    <w:rsid w:val="00F749F0"/>
    <w:rsid w:val="00F7738D"/>
    <w:rsid w:val="00F8582B"/>
    <w:rsid w:val="00F905B9"/>
    <w:rsid w:val="00F938C0"/>
    <w:rsid w:val="00F94089"/>
    <w:rsid w:val="00FA20B9"/>
    <w:rsid w:val="00FA23AC"/>
    <w:rsid w:val="00FA263B"/>
    <w:rsid w:val="00FA29EE"/>
    <w:rsid w:val="00FA54FB"/>
    <w:rsid w:val="00FB2CFB"/>
    <w:rsid w:val="00FB527E"/>
    <w:rsid w:val="00FC18FD"/>
    <w:rsid w:val="00FC4A20"/>
    <w:rsid w:val="00FC4F2A"/>
    <w:rsid w:val="00FD2A2F"/>
    <w:rsid w:val="00FD4509"/>
    <w:rsid w:val="00FD6BBD"/>
    <w:rsid w:val="00FD767C"/>
    <w:rsid w:val="00FE02E7"/>
    <w:rsid w:val="00FE47E7"/>
    <w:rsid w:val="00FE600F"/>
    <w:rsid w:val="00FF0AD7"/>
    <w:rsid w:val="00FF1AE2"/>
    <w:rsid w:val="00FF2412"/>
    <w:rsid w:val="00FF27A0"/>
    <w:rsid w:val="00FF5F30"/>
    <w:rsid w:val="00FF7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66ADCC"/>
  <w15:docId w15:val="{0A4B11AF-E820-461D-B748-D9513AB1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13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C09"/>
    <w:pPr>
      <w:spacing w:after="0" w:line="240" w:lineRule="auto"/>
      <w:ind w:left="720"/>
      <w:contextualSpacing/>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CD2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DF8"/>
  </w:style>
  <w:style w:type="paragraph" w:styleId="Footer">
    <w:name w:val="footer"/>
    <w:basedOn w:val="Normal"/>
    <w:link w:val="FooterChar"/>
    <w:uiPriority w:val="99"/>
    <w:unhideWhenUsed/>
    <w:rsid w:val="00CD2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DF8"/>
  </w:style>
  <w:style w:type="paragraph" w:styleId="BalloonText">
    <w:name w:val="Balloon Text"/>
    <w:basedOn w:val="Normal"/>
    <w:link w:val="BalloonTextChar"/>
    <w:uiPriority w:val="99"/>
    <w:semiHidden/>
    <w:unhideWhenUsed/>
    <w:rsid w:val="00DC09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947"/>
    <w:rPr>
      <w:rFonts w:ascii="Tahoma" w:hAnsi="Tahoma" w:cs="Tahoma"/>
      <w:sz w:val="16"/>
      <w:szCs w:val="16"/>
    </w:rPr>
  </w:style>
  <w:style w:type="character" w:styleId="Hyperlink">
    <w:name w:val="Hyperlink"/>
    <w:basedOn w:val="DefaultParagraphFont"/>
    <w:uiPriority w:val="99"/>
    <w:unhideWhenUsed/>
    <w:rsid w:val="00896B3A"/>
    <w:rPr>
      <w:color w:val="0000FF" w:themeColor="hyperlink"/>
      <w:u w:val="single"/>
    </w:rPr>
  </w:style>
  <w:style w:type="character" w:styleId="FollowedHyperlink">
    <w:name w:val="FollowedHyperlink"/>
    <w:basedOn w:val="DefaultParagraphFont"/>
    <w:uiPriority w:val="99"/>
    <w:semiHidden/>
    <w:unhideWhenUsed/>
    <w:rsid w:val="002A1F21"/>
    <w:rPr>
      <w:color w:val="800080" w:themeColor="followedHyperlink"/>
      <w:u w:val="single"/>
    </w:rPr>
  </w:style>
  <w:style w:type="paragraph" w:styleId="FootnoteText">
    <w:name w:val="footnote text"/>
    <w:basedOn w:val="Normal"/>
    <w:link w:val="FootnoteTextChar"/>
    <w:uiPriority w:val="99"/>
    <w:semiHidden/>
    <w:unhideWhenUsed/>
    <w:rsid w:val="003217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176A"/>
    <w:rPr>
      <w:sz w:val="20"/>
      <w:szCs w:val="20"/>
    </w:rPr>
  </w:style>
  <w:style w:type="character" w:styleId="FootnoteReference">
    <w:name w:val="footnote reference"/>
    <w:basedOn w:val="DefaultParagraphFont"/>
    <w:uiPriority w:val="99"/>
    <w:semiHidden/>
    <w:unhideWhenUsed/>
    <w:rsid w:val="0032176A"/>
    <w:rPr>
      <w:vertAlign w:val="superscript"/>
    </w:rPr>
  </w:style>
  <w:style w:type="character" w:styleId="CommentReference">
    <w:name w:val="annotation reference"/>
    <w:basedOn w:val="DefaultParagraphFont"/>
    <w:uiPriority w:val="99"/>
    <w:semiHidden/>
    <w:unhideWhenUsed/>
    <w:rsid w:val="003F0E2B"/>
    <w:rPr>
      <w:sz w:val="16"/>
      <w:szCs w:val="16"/>
    </w:rPr>
  </w:style>
  <w:style w:type="paragraph" w:styleId="CommentText">
    <w:name w:val="annotation text"/>
    <w:basedOn w:val="Normal"/>
    <w:link w:val="CommentTextChar"/>
    <w:uiPriority w:val="99"/>
    <w:unhideWhenUsed/>
    <w:rsid w:val="003F0E2B"/>
    <w:pPr>
      <w:spacing w:line="240" w:lineRule="auto"/>
    </w:pPr>
    <w:rPr>
      <w:sz w:val="20"/>
      <w:szCs w:val="20"/>
    </w:rPr>
  </w:style>
  <w:style w:type="character" w:customStyle="1" w:styleId="CommentTextChar">
    <w:name w:val="Comment Text Char"/>
    <w:basedOn w:val="DefaultParagraphFont"/>
    <w:link w:val="CommentText"/>
    <w:uiPriority w:val="99"/>
    <w:rsid w:val="003F0E2B"/>
    <w:rPr>
      <w:sz w:val="20"/>
      <w:szCs w:val="20"/>
    </w:rPr>
  </w:style>
  <w:style w:type="paragraph" w:styleId="CommentSubject">
    <w:name w:val="annotation subject"/>
    <w:basedOn w:val="CommentText"/>
    <w:next w:val="CommentText"/>
    <w:link w:val="CommentSubjectChar"/>
    <w:uiPriority w:val="99"/>
    <w:semiHidden/>
    <w:unhideWhenUsed/>
    <w:rsid w:val="003F0E2B"/>
    <w:rPr>
      <w:b/>
      <w:bCs/>
    </w:rPr>
  </w:style>
  <w:style w:type="character" w:customStyle="1" w:styleId="CommentSubjectChar">
    <w:name w:val="Comment Subject Char"/>
    <w:basedOn w:val="CommentTextChar"/>
    <w:link w:val="CommentSubject"/>
    <w:uiPriority w:val="99"/>
    <w:semiHidden/>
    <w:rsid w:val="003F0E2B"/>
    <w:rPr>
      <w:b/>
      <w:bCs/>
      <w:sz w:val="20"/>
      <w:szCs w:val="20"/>
    </w:rPr>
  </w:style>
  <w:style w:type="paragraph" w:styleId="Revision">
    <w:name w:val="Revision"/>
    <w:hidden/>
    <w:uiPriority w:val="99"/>
    <w:semiHidden/>
    <w:rsid w:val="00D814B2"/>
    <w:pPr>
      <w:spacing w:after="0" w:line="240" w:lineRule="auto"/>
    </w:pPr>
  </w:style>
  <w:style w:type="character" w:styleId="UnresolvedMention">
    <w:name w:val="Unresolved Mention"/>
    <w:basedOn w:val="DefaultParagraphFont"/>
    <w:uiPriority w:val="99"/>
    <w:semiHidden/>
    <w:unhideWhenUsed/>
    <w:rsid w:val="00E66070"/>
    <w:rPr>
      <w:color w:val="605E5C"/>
      <w:shd w:val="clear" w:color="auto" w:fill="E1DFDD"/>
    </w:rPr>
  </w:style>
  <w:style w:type="paragraph" w:styleId="EndnoteText">
    <w:name w:val="endnote text"/>
    <w:basedOn w:val="Normal"/>
    <w:link w:val="EndnoteTextChar"/>
    <w:uiPriority w:val="99"/>
    <w:semiHidden/>
    <w:unhideWhenUsed/>
    <w:rsid w:val="005879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792F"/>
    <w:rPr>
      <w:sz w:val="20"/>
      <w:szCs w:val="20"/>
    </w:rPr>
  </w:style>
  <w:style w:type="character" w:styleId="EndnoteReference">
    <w:name w:val="endnote reference"/>
    <w:basedOn w:val="DefaultParagraphFont"/>
    <w:uiPriority w:val="99"/>
    <w:semiHidden/>
    <w:unhideWhenUsed/>
    <w:rsid w:val="0058792F"/>
    <w:rPr>
      <w:vertAlign w:val="superscript"/>
    </w:rPr>
  </w:style>
  <w:style w:type="paragraph" w:customStyle="1" w:styleId="Cover-AgencyName">
    <w:name w:val="Cover - Agency Name"/>
    <w:basedOn w:val="Normal"/>
    <w:qFormat/>
    <w:rsid w:val="00CA0B1D"/>
    <w:pPr>
      <w:tabs>
        <w:tab w:val="left" w:pos="1440"/>
      </w:tabs>
      <w:spacing w:after="0" w:line="240" w:lineRule="auto"/>
    </w:pPr>
    <w:rPr>
      <w:rFonts w:ascii="Avenir Next LT Pro" w:hAnsi="Avenir Next LT Pro"/>
      <w:b/>
      <w:caps/>
      <w:color w:val="1F497D" w:themeColor="text2"/>
      <w:sz w:val="56"/>
      <w:szCs w:val="56"/>
    </w:rPr>
  </w:style>
  <w:style w:type="paragraph" w:customStyle="1" w:styleId="Cover-ServiceArea">
    <w:name w:val="Cover - Service Area"/>
    <w:basedOn w:val="Normal"/>
    <w:qFormat/>
    <w:rsid w:val="00CA0B1D"/>
    <w:pPr>
      <w:tabs>
        <w:tab w:val="left" w:pos="1440"/>
      </w:tabs>
      <w:spacing w:after="0" w:line="240" w:lineRule="auto"/>
      <w:ind w:right="10"/>
    </w:pPr>
    <w:rPr>
      <w:rFonts w:ascii="Avenir Next LT Pro" w:hAnsi="Avenir Next LT Pro"/>
      <w:caps/>
      <w:color w:val="EEECE1" w:themeColor="background2"/>
      <w:sz w:val="32"/>
      <w:szCs w:val="32"/>
    </w:rPr>
  </w:style>
  <w:style w:type="paragraph" w:customStyle="1" w:styleId="Cover-Info">
    <w:name w:val="Cover - Info"/>
    <w:aliases w:val="Issue Date"/>
    <w:basedOn w:val="Normal"/>
    <w:qFormat/>
    <w:rsid w:val="00CA0B1D"/>
    <w:pPr>
      <w:tabs>
        <w:tab w:val="left" w:pos="1440"/>
      </w:tabs>
      <w:spacing w:after="0" w:line="240" w:lineRule="auto"/>
      <w:ind w:right="10"/>
    </w:pPr>
    <w:rPr>
      <w:rFonts w:ascii="Avenir Next LT Pro" w:hAnsi="Avenir Next LT Pro"/>
      <w:b/>
      <w:color w:val="1F497D" w:themeColor="text2"/>
      <w:sz w:val="24"/>
      <w:szCs w:val="24"/>
    </w:rPr>
  </w:style>
  <w:style w:type="paragraph" w:customStyle="1" w:styleId="Cover-AgencySubhead">
    <w:name w:val="Cover - Agency Subhead"/>
    <w:basedOn w:val="Normal"/>
    <w:qFormat/>
    <w:rsid w:val="00C4007D"/>
    <w:pPr>
      <w:tabs>
        <w:tab w:val="left" w:pos="1440"/>
      </w:tabs>
      <w:spacing w:after="0" w:line="240" w:lineRule="auto"/>
    </w:pPr>
    <w:rPr>
      <w:rFonts w:ascii="Avenir Next LT Pro" w:hAnsi="Avenir Next LT Pro"/>
      <w:caps/>
      <w:color w:val="1F497D" w:themeColor="text2"/>
      <w:sz w:val="40"/>
      <w:szCs w:val="40"/>
    </w:rPr>
  </w:style>
  <w:style w:type="paragraph" w:customStyle="1" w:styleId="AcctTtl1">
    <w:name w:val="Acct Ttl 1"/>
    <w:rsid w:val="00577B38"/>
    <w:pPr>
      <w:tabs>
        <w:tab w:val="center" w:leader="dot" w:pos="7920"/>
        <w:tab w:val="right" w:leader="dot" w:pos="9360"/>
      </w:tabs>
      <w:spacing w:after="240" w:line="240" w:lineRule="auto"/>
      <w:ind w:left="288" w:hanging="144"/>
    </w:pPr>
    <w:rPr>
      <w:rFonts w:ascii="Times New Roman" w:eastAsia="Times New Roman" w:hAnsi="Times New Roman" w:cs="Times New Roman"/>
      <w:sz w:val="24"/>
      <w:szCs w:val="24"/>
    </w:rPr>
  </w:style>
  <w:style w:type="paragraph" w:customStyle="1" w:styleId="AcctTtl">
    <w:name w:val="Acct Ttl"/>
    <w:link w:val="AcctTtlChar"/>
    <w:rsid w:val="00577B38"/>
    <w:pPr>
      <w:tabs>
        <w:tab w:val="center" w:leader="dot" w:pos="7920"/>
        <w:tab w:val="right" w:leader="dot" w:pos="9360"/>
      </w:tabs>
      <w:spacing w:after="240" w:line="240" w:lineRule="auto"/>
      <w:ind w:left="144" w:hanging="144"/>
    </w:pPr>
    <w:rPr>
      <w:rFonts w:ascii="Times New Roman" w:eastAsia="Times New Roman" w:hAnsi="Times New Roman" w:cs="Times New Roman"/>
      <w:sz w:val="24"/>
      <w:szCs w:val="24"/>
    </w:rPr>
  </w:style>
  <w:style w:type="character" w:customStyle="1" w:styleId="AcctTtlChar">
    <w:name w:val="Acct Ttl Char"/>
    <w:link w:val="AcctTtl"/>
    <w:rsid w:val="00577B38"/>
    <w:rPr>
      <w:rFonts w:ascii="Times New Roman" w:eastAsia="Times New Roman" w:hAnsi="Times New Roman" w:cs="Times New Roman"/>
      <w:sz w:val="24"/>
      <w:szCs w:val="24"/>
    </w:rPr>
  </w:style>
  <w:style w:type="paragraph" w:customStyle="1" w:styleId="SectionHeader">
    <w:name w:val="Section Header"/>
    <w:basedOn w:val="Normal"/>
    <w:qFormat/>
    <w:rsid w:val="00577B38"/>
    <w:pPr>
      <w:spacing w:after="0" w:line="240" w:lineRule="auto"/>
      <w:jc w:val="center"/>
    </w:pPr>
    <w:rPr>
      <w:rFonts w:ascii="Avenir Next LT Pro" w:hAnsi="Avenir Next LT Pro"/>
      <w:b/>
      <w:color w:val="053A63"/>
      <w:sz w:val="32"/>
      <w:szCs w:val="32"/>
    </w:rPr>
  </w:style>
  <w:style w:type="paragraph" w:customStyle="1" w:styleId="AcctHead">
    <w:name w:val="Acct Head"/>
    <w:rsid w:val="00577B38"/>
    <w:pPr>
      <w:tabs>
        <w:tab w:val="center" w:pos="7920"/>
      </w:tabs>
      <w:spacing w:after="0" w:line="240" w:lineRule="auto"/>
    </w:pPr>
    <w:rPr>
      <w:rFonts w:ascii="Times New Roman" w:eastAsia="Times New Roman" w:hAnsi="Times New Roman" w:cs="Times New Roman"/>
      <w:b/>
      <w:sz w:val="24"/>
      <w:szCs w:val="24"/>
    </w:rPr>
  </w:style>
  <w:style w:type="paragraph" w:customStyle="1" w:styleId="PageHeader-Inside">
    <w:name w:val="Page Header - Inside"/>
    <w:basedOn w:val="Normal"/>
    <w:qFormat/>
    <w:rsid w:val="007A7D97"/>
    <w:pPr>
      <w:pBdr>
        <w:bottom w:val="single" w:sz="4" w:space="1" w:color="5A83A6"/>
      </w:pBdr>
      <w:tabs>
        <w:tab w:val="right" w:pos="9360"/>
      </w:tabs>
      <w:spacing w:after="0" w:line="240" w:lineRule="auto"/>
      <w:jc w:val="both"/>
    </w:pPr>
    <w:rPr>
      <w:rFonts w:ascii="Avenir Next LT Pro" w:eastAsia="Times New Roman" w:hAnsi="Avenir Next LT Pro" w:cs="Times New Roman"/>
      <w:color w:val="053A6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ms.lla.la.gov/assets/lagag/audit-risk-alert-no.-46-change-in-sa-and-saup-requirement-for-cslfrfrecipients-table.pdf"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cms.lla.la.gov/assets/documents/Nonprofit-Checklist.pdf" TargetMode="Externa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lla.la.gov/hot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28BB5-A244-473B-AD6A-87EBD5EEFDDF}">
  <ds:schemaRefs>
    <ds:schemaRef ds:uri="http://schemas.openxmlformats.org/officeDocument/2006/bibliography"/>
  </ds:schemaRefs>
</ds:datastoreItem>
</file>

<file path=customXml/itemProps2.xml><?xml version="1.0" encoding="utf-8"?>
<ds:datastoreItem xmlns:ds="http://schemas.openxmlformats.org/officeDocument/2006/customXml" ds:itemID="{D5BB8A7C-98F8-4CA5-80CB-AD5A3203A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7005</Words>
  <Characters>39929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LLA</Company>
  <LinksUpToDate>false</LinksUpToDate>
  <CharactersWithSpaces>46841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 Cryer</dc:creator>
  <cp:lastModifiedBy>Sandra Whitehead</cp:lastModifiedBy>
  <cp:revision>2</cp:revision>
  <cp:lastPrinted>2022-11-14T22:26:00Z</cp:lastPrinted>
  <dcterms:created xsi:type="dcterms:W3CDTF">2022-12-05T17:29:00Z</dcterms:created>
  <dcterms:modified xsi:type="dcterms:W3CDTF">2022-12-05T17:29:00Z</dcterms:modified>
</cp:coreProperties>
</file>