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8D" w:rsidRPr="009A428D" w:rsidRDefault="009A428D" w:rsidP="009A428D">
      <w:pPr>
        <w:pBdr>
          <w:top w:val="double" w:sz="4" w:space="0" w:color="auto"/>
          <w:bottom w:val="double" w:sz="4" w:space="1" w:color="auto"/>
        </w:pBdr>
        <w:shd w:val="clear" w:color="auto" w:fill="053A63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Instructions</w:t>
      </w:r>
    </w:p>
    <w:p w:rsidR="002733E5" w:rsidRPr="00847D2B" w:rsidRDefault="002733E5" w:rsidP="00E34D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20DCF" w:rsidRDefault="00F723B2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87 of the 2020 Regular Legislative Session </w:t>
      </w:r>
      <w:r w:rsidR="00634B96">
        <w:rPr>
          <w:rFonts w:ascii="Times New Roman" w:hAnsi="Times New Roman" w:cs="Times New Roman"/>
          <w:sz w:val="24"/>
          <w:szCs w:val="24"/>
        </w:rPr>
        <w:t>(</w:t>
      </w:r>
      <w:r w:rsidR="00772A74">
        <w:rPr>
          <w:rFonts w:ascii="Times New Roman" w:hAnsi="Times New Roman" w:cs="Times New Roman"/>
          <w:sz w:val="24"/>
          <w:szCs w:val="24"/>
        </w:rPr>
        <w:t>R.S. 24:515.2</w:t>
      </w:r>
      <w:r w:rsidR="00634B96">
        <w:rPr>
          <w:rFonts w:ascii="Times New Roman" w:hAnsi="Times New Roman" w:cs="Times New Roman"/>
          <w:sz w:val="24"/>
          <w:szCs w:val="24"/>
        </w:rPr>
        <w:t>)</w:t>
      </w:r>
      <w:r w:rsidR="00772A74">
        <w:rPr>
          <w:rFonts w:ascii="Times New Roman" w:hAnsi="Times New Roman" w:cs="Times New Roman"/>
          <w:sz w:val="24"/>
          <w:szCs w:val="24"/>
        </w:rPr>
        <w:t xml:space="preserve"> </w:t>
      </w:r>
      <w:r w:rsidR="00881574"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 xml:space="preserve"> the Louisiana Legislative Auditor (LLA)</w:t>
      </w:r>
      <w:r w:rsidR="00920DCF">
        <w:rPr>
          <w:rFonts w:ascii="Times New Roman" w:hAnsi="Times New Roman" w:cs="Times New Roman"/>
          <w:sz w:val="24"/>
          <w:szCs w:val="24"/>
        </w:rPr>
        <w:t xml:space="preserve"> and the Louisiana Supreme Court (LSC)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574">
        <w:rPr>
          <w:rFonts w:ascii="Times New Roman" w:hAnsi="Times New Roman" w:cs="Times New Roman"/>
          <w:sz w:val="24"/>
          <w:szCs w:val="24"/>
        </w:rPr>
        <w:t xml:space="preserve">to develop </w:t>
      </w:r>
      <w:r>
        <w:rPr>
          <w:rFonts w:ascii="Times New Roman" w:hAnsi="Times New Roman" w:cs="Times New Roman"/>
          <w:sz w:val="24"/>
          <w:szCs w:val="24"/>
        </w:rPr>
        <w:t xml:space="preserve">a uniform </w:t>
      </w:r>
      <w:r w:rsidR="00920DCF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format for </w:t>
      </w:r>
      <w:r w:rsidR="00772A74">
        <w:rPr>
          <w:rFonts w:ascii="Times New Roman" w:hAnsi="Times New Roman" w:cs="Times New Roman"/>
          <w:sz w:val="24"/>
          <w:szCs w:val="24"/>
        </w:rPr>
        <w:t xml:space="preserve">local and state </w:t>
      </w:r>
      <w:r w:rsidR="00C56C8A">
        <w:rPr>
          <w:rFonts w:ascii="Times New Roman" w:hAnsi="Times New Roman" w:cs="Times New Roman"/>
          <w:sz w:val="24"/>
          <w:szCs w:val="24"/>
        </w:rPr>
        <w:t>entities</w:t>
      </w:r>
      <w:r w:rsidR="00772A74">
        <w:rPr>
          <w:rFonts w:ascii="Times New Roman" w:hAnsi="Times New Roman" w:cs="Times New Roman"/>
          <w:sz w:val="24"/>
          <w:szCs w:val="24"/>
        </w:rPr>
        <w:t xml:space="preserve"> that asses</w:t>
      </w:r>
      <w:r w:rsidR="00634B96">
        <w:rPr>
          <w:rFonts w:ascii="Times New Roman" w:hAnsi="Times New Roman" w:cs="Times New Roman"/>
          <w:sz w:val="24"/>
          <w:szCs w:val="24"/>
        </w:rPr>
        <w:t>s</w:t>
      </w:r>
      <w:r w:rsidR="00772A74">
        <w:rPr>
          <w:rFonts w:ascii="Times New Roman" w:hAnsi="Times New Roman" w:cs="Times New Roman"/>
          <w:sz w:val="24"/>
          <w:szCs w:val="24"/>
        </w:rPr>
        <w:t>, collect, or receive revenue from pre- or post-adjudication cost</w:t>
      </w:r>
      <w:r w:rsidR="00920DCF">
        <w:rPr>
          <w:rFonts w:ascii="Times New Roman" w:hAnsi="Times New Roman" w:cs="Times New Roman"/>
          <w:sz w:val="24"/>
          <w:szCs w:val="24"/>
        </w:rPr>
        <w:t>s</w:t>
      </w:r>
      <w:r w:rsidR="00772A74">
        <w:rPr>
          <w:rFonts w:ascii="Times New Roman" w:hAnsi="Times New Roman" w:cs="Times New Roman"/>
          <w:sz w:val="24"/>
          <w:szCs w:val="24"/>
        </w:rPr>
        <w:t xml:space="preserve">, fines, and fees. </w:t>
      </w:r>
      <w:r w:rsidR="00920DCF">
        <w:rPr>
          <w:rFonts w:ascii="Times New Roman" w:hAnsi="Times New Roman" w:cs="Times New Roman"/>
          <w:sz w:val="24"/>
          <w:szCs w:val="24"/>
        </w:rPr>
        <w:t xml:space="preserve"> The uniform reporting format must include, at a minimum, the amounts of all pre- and post-adjudication court costs, fines, and fees assessed or imposed; the amounts collected; the amounts outstanding; the amounts retained; the amounts disbursed; and the amounts received from disbursements.</w:t>
      </w:r>
    </w:p>
    <w:p w:rsidR="009B63D2" w:rsidRPr="009B63D2" w:rsidRDefault="009B63D2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3D2">
        <w:rPr>
          <w:rFonts w:ascii="Times New Roman" w:hAnsi="Times New Roman" w:cs="Times New Roman"/>
          <w:b/>
          <w:sz w:val="24"/>
          <w:szCs w:val="24"/>
          <w:u w:val="single"/>
        </w:rPr>
        <w:t>General Requirements</w:t>
      </w:r>
    </w:p>
    <w:p w:rsidR="00BF6BED" w:rsidRDefault="00920DCF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satisfy the requirements of the Act, the LLA and LSC</w:t>
      </w:r>
      <w:r w:rsidR="00C56C8A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developed </w:t>
      </w:r>
      <w:r w:rsidR="00546BEF">
        <w:rPr>
          <w:rFonts w:ascii="Times New Roman" w:hAnsi="Times New Roman" w:cs="Times New Roman"/>
          <w:sz w:val="24"/>
          <w:szCs w:val="24"/>
        </w:rPr>
        <w:t xml:space="preserve">two </w:t>
      </w:r>
      <w:r w:rsidR="00C56C8A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>schedules</w:t>
      </w:r>
      <w:r w:rsidR="00546BEF">
        <w:rPr>
          <w:rFonts w:ascii="Times New Roman" w:hAnsi="Times New Roman" w:cs="Times New Roman"/>
          <w:sz w:val="24"/>
          <w:szCs w:val="24"/>
        </w:rPr>
        <w:t xml:space="preserve"> (Schedules)</w:t>
      </w:r>
      <w:r w:rsidR="00C56C8A">
        <w:rPr>
          <w:rFonts w:ascii="Times New Roman" w:hAnsi="Times New Roman" w:cs="Times New Roman"/>
          <w:sz w:val="24"/>
          <w:szCs w:val="24"/>
        </w:rPr>
        <w:t xml:space="preserve"> to be included in audit reports, review</w:t>
      </w:r>
      <w:r w:rsidR="00812AD7">
        <w:rPr>
          <w:rFonts w:ascii="Times New Roman" w:hAnsi="Times New Roman" w:cs="Times New Roman"/>
          <w:sz w:val="24"/>
          <w:szCs w:val="24"/>
        </w:rPr>
        <w:t>/attest</w:t>
      </w:r>
      <w:r w:rsidR="00C56C8A">
        <w:rPr>
          <w:rFonts w:ascii="Times New Roman" w:hAnsi="Times New Roman" w:cs="Times New Roman"/>
          <w:sz w:val="24"/>
          <w:szCs w:val="24"/>
        </w:rPr>
        <w:t xml:space="preserve"> reports, </w:t>
      </w:r>
      <w:r w:rsidR="00812AD7">
        <w:rPr>
          <w:rFonts w:ascii="Times New Roman" w:hAnsi="Times New Roman" w:cs="Times New Roman"/>
          <w:sz w:val="24"/>
          <w:szCs w:val="24"/>
        </w:rPr>
        <w:t xml:space="preserve">and </w:t>
      </w:r>
      <w:r w:rsidR="00C56C8A">
        <w:rPr>
          <w:rFonts w:ascii="Times New Roman" w:hAnsi="Times New Roman" w:cs="Times New Roman"/>
          <w:sz w:val="24"/>
          <w:szCs w:val="24"/>
        </w:rPr>
        <w:t xml:space="preserve">compilation reports.  </w:t>
      </w:r>
      <w:r w:rsidR="00BF6BED">
        <w:rPr>
          <w:rFonts w:ascii="Times New Roman" w:hAnsi="Times New Roman" w:cs="Times New Roman"/>
          <w:sz w:val="24"/>
          <w:szCs w:val="24"/>
        </w:rPr>
        <w:t>S</w:t>
      </w:r>
      <w:r w:rsidR="00562124">
        <w:rPr>
          <w:rFonts w:ascii="Times New Roman" w:hAnsi="Times New Roman" w:cs="Times New Roman"/>
          <w:sz w:val="24"/>
          <w:szCs w:val="24"/>
        </w:rPr>
        <w:t>chedules are not required for Justices of the Peace</w:t>
      </w:r>
      <w:r w:rsidR="00BF6BED">
        <w:rPr>
          <w:rFonts w:ascii="Times New Roman" w:hAnsi="Times New Roman" w:cs="Times New Roman"/>
          <w:sz w:val="24"/>
          <w:szCs w:val="24"/>
        </w:rPr>
        <w:t xml:space="preserve"> or Constables, nor are they required if the entity does not have any amounts to report (i.e. blank schedules are not required).</w:t>
      </w:r>
    </w:p>
    <w:p w:rsidR="00BF6BED" w:rsidRDefault="00C56C8A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6BEF">
        <w:rPr>
          <w:rFonts w:ascii="Times New Roman" w:hAnsi="Times New Roman" w:cs="Times New Roman"/>
          <w:sz w:val="24"/>
          <w:szCs w:val="24"/>
        </w:rPr>
        <w:t>hese S</w:t>
      </w:r>
      <w:r>
        <w:rPr>
          <w:rFonts w:ascii="Times New Roman" w:hAnsi="Times New Roman" w:cs="Times New Roman"/>
          <w:sz w:val="24"/>
          <w:szCs w:val="24"/>
        </w:rPr>
        <w:t xml:space="preserve">chedules must be included </w:t>
      </w:r>
      <w:r w:rsidR="00642142">
        <w:rPr>
          <w:rFonts w:ascii="Times New Roman" w:hAnsi="Times New Roman" w:cs="Times New Roman"/>
          <w:sz w:val="24"/>
          <w:szCs w:val="24"/>
        </w:rPr>
        <w:t xml:space="preserve">in reports submitted by </w:t>
      </w:r>
      <w:r>
        <w:rPr>
          <w:rFonts w:ascii="Times New Roman" w:hAnsi="Times New Roman" w:cs="Times New Roman"/>
          <w:sz w:val="24"/>
          <w:szCs w:val="24"/>
        </w:rPr>
        <w:t xml:space="preserve">entities with a December 31, 2020 or later fiscal year </w:t>
      </w:r>
      <w:r w:rsidRPr="00990437">
        <w:rPr>
          <w:rFonts w:ascii="Times New Roman" w:hAnsi="Times New Roman" w:cs="Times New Roman"/>
          <w:sz w:val="24"/>
          <w:szCs w:val="24"/>
        </w:rPr>
        <w:t>end</w:t>
      </w:r>
      <w:r w:rsidR="00990437">
        <w:rPr>
          <w:rFonts w:ascii="Times New Roman" w:hAnsi="Times New Roman" w:cs="Times New Roman"/>
          <w:sz w:val="24"/>
          <w:szCs w:val="24"/>
        </w:rPr>
        <w:t>.</w:t>
      </w:r>
      <w:r w:rsidR="000346FE">
        <w:rPr>
          <w:rFonts w:ascii="Times New Roman" w:hAnsi="Times New Roman" w:cs="Times New Roman"/>
          <w:sz w:val="24"/>
          <w:szCs w:val="24"/>
        </w:rPr>
        <w:t xml:space="preserve">  </w:t>
      </w:r>
      <w:r w:rsidR="00BF6BED">
        <w:rPr>
          <w:rFonts w:ascii="Times New Roman" w:hAnsi="Times New Roman" w:cs="Times New Roman"/>
          <w:sz w:val="24"/>
          <w:szCs w:val="24"/>
        </w:rPr>
        <w:t>The Schedules are considered to be Supplementary Information, requiring an in-relation opinion for audit reports, and must be completed on the cash-basis.</w:t>
      </w:r>
      <w:r w:rsidR="003D2459">
        <w:rPr>
          <w:rFonts w:ascii="Times New Roman" w:hAnsi="Times New Roman" w:cs="Times New Roman"/>
          <w:sz w:val="24"/>
          <w:szCs w:val="24"/>
        </w:rPr>
        <w:t xml:space="preserve">  All amounts on the Schedules should be entered as positive numbers.</w:t>
      </w:r>
    </w:p>
    <w:p w:rsidR="00014AEA" w:rsidRDefault="00014AEA" w:rsidP="00554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Schedule includes two six-month columns to allow the LLA to reconcile between collecting/disbursing and receiving entities with different fiscal year ends.  The two six-month columns should reflect each six months of the entity’s fiscal year </w:t>
      </w:r>
      <w:r w:rsidR="000346FE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46FE">
        <w:rPr>
          <w:rFonts w:ascii="Times New Roman" w:hAnsi="Times New Roman" w:cs="Times New Roman"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>. a December 31, 2020 fiscal year end report should include columns reflecting January 1, 2020 through June 30, 2020 and July 1, 2020 through December 31, 2020, respectively.</w:t>
      </w:r>
    </w:p>
    <w:p w:rsidR="00C56C8A" w:rsidRPr="00847D2B" w:rsidRDefault="00546BEF" w:rsidP="00E34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>Collecting/Disbursing Schedule</w:t>
      </w:r>
    </w:p>
    <w:p w:rsidR="00C56C8A" w:rsidRDefault="00546BEF" w:rsidP="00847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Schedule </w:t>
      </w:r>
      <w:r w:rsidR="00EA251E">
        <w:rPr>
          <w:rFonts w:ascii="Times New Roman" w:hAnsi="Times New Roman" w:cs="Times New Roman"/>
          <w:sz w:val="24"/>
          <w:szCs w:val="24"/>
        </w:rPr>
        <w:t>must</w:t>
      </w:r>
      <w:r w:rsidR="00E41E23">
        <w:rPr>
          <w:rFonts w:ascii="Times New Roman" w:hAnsi="Times New Roman" w:cs="Times New Roman"/>
          <w:sz w:val="24"/>
          <w:szCs w:val="24"/>
        </w:rPr>
        <w:t xml:space="preserve"> be completed by all entities</w:t>
      </w:r>
      <w:r w:rsidR="00EA251E">
        <w:rPr>
          <w:rFonts w:ascii="Times New Roman" w:hAnsi="Times New Roman" w:cs="Times New Roman"/>
          <w:sz w:val="24"/>
          <w:szCs w:val="24"/>
        </w:rPr>
        <w:t xml:space="preserve"> (e.g. sheriff</w:t>
      </w:r>
      <w:r w:rsidR="001225C3">
        <w:rPr>
          <w:rFonts w:ascii="Times New Roman" w:hAnsi="Times New Roman" w:cs="Times New Roman"/>
          <w:sz w:val="24"/>
          <w:szCs w:val="24"/>
        </w:rPr>
        <w:t>s</w:t>
      </w:r>
      <w:r w:rsidR="00EA251E">
        <w:rPr>
          <w:rFonts w:ascii="Times New Roman" w:hAnsi="Times New Roman" w:cs="Times New Roman"/>
          <w:sz w:val="24"/>
          <w:szCs w:val="24"/>
        </w:rPr>
        <w:t>)</w:t>
      </w:r>
      <w:r w:rsidR="00E41E23">
        <w:rPr>
          <w:rFonts w:ascii="Times New Roman" w:hAnsi="Times New Roman" w:cs="Times New Roman"/>
          <w:sz w:val="24"/>
          <w:szCs w:val="24"/>
        </w:rPr>
        <w:t xml:space="preserve"> that collect and</w:t>
      </w:r>
      <w:r w:rsidR="00EA251E">
        <w:rPr>
          <w:rFonts w:ascii="Times New Roman" w:hAnsi="Times New Roman" w:cs="Times New Roman"/>
          <w:sz w:val="24"/>
          <w:szCs w:val="24"/>
        </w:rPr>
        <w:t>/or</w:t>
      </w:r>
      <w:r w:rsidR="00E41E23">
        <w:rPr>
          <w:rFonts w:ascii="Times New Roman" w:hAnsi="Times New Roman" w:cs="Times New Roman"/>
          <w:sz w:val="24"/>
          <w:szCs w:val="24"/>
        </w:rPr>
        <w:t xml:space="preserve"> disburse pre- or post-adjudication costs, fines, and fees to other entities</w:t>
      </w:r>
      <w:r w:rsidR="0055494F">
        <w:rPr>
          <w:rFonts w:ascii="Times New Roman" w:hAnsi="Times New Roman" w:cs="Times New Roman"/>
          <w:sz w:val="24"/>
          <w:szCs w:val="24"/>
        </w:rPr>
        <w:t>.</w:t>
      </w:r>
      <w:r w:rsidR="00BF6BED">
        <w:rPr>
          <w:rFonts w:ascii="Times New Roman" w:hAnsi="Times New Roman" w:cs="Times New Roman"/>
          <w:sz w:val="24"/>
          <w:szCs w:val="24"/>
        </w:rPr>
        <w:t xml:space="preserve">  T</w:t>
      </w:r>
      <w:r w:rsidR="001225C3">
        <w:rPr>
          <w:rFonts w:ascii="Times New Roman" w:hAnsi="Times New Roman" w:cs="Times New Roman"/>
          <w:sz w:val="24"/>
          <w:szCs w:val="24"/>
        </w:rPr>
        <w:t>he major sections of the Schedule</w:t>
      </w:r>
      <w:r w:rsidR="00F558CA">
        <w:rPr>
          <w:rFonts w:ascii="Times New Roman" w:hAnsi="Times New Roman" w:cs="Times New Roman"/>
          <w:sz w:val="24"/>
          <w:szCs w:val="24"/>
        </w:rPr>
        <w:t xml:space="preserve">, other than </w:t>
      </w:r>
      <w:r w:rsidR="003D2459">
        <w:rPr>
          <w:rFonts w:ascii="Times New Roman" w:hAnsi="Times New Roman" w:cs="Times New Roman"/>
          <w:sz w:val="24"/>
          <w:szCs w:val="24"/>
        </w:rPr>
        <w:t xml:space="preserve">totals and </w:t>
      </w:r>
      <w:r w:rsidR="00F558CA">
        <w:rPr>
          <w:rFonts w:ascii="Times New Roman" w:hAnsi="Times New Roman" w:cs="Times New Roman"/>
          <w:sz w:val="24"/>
          <w:szCs w:val="24"/>
        </w:rPr>
        <w:t>subtotals,</w:t>
      </w:r>
      <w:r w:rsidR="001225C3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:rsidR="001225C3" w:rsidRPr="00847D2B" w:rsidRDefault="001225C3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b/>
          <w:i/>
          <w:szCs w:val="24"/>
        </w:rPr>
      </w:pPr>
      <w:r w:rsidRPr="00847D2B">
        <w:rPr>
          <w:b/>
          <w:i/>
          <w:szCs w:val="24"/>
        </w:rPr>
        <w:t>Beginning Balance of Amounts Collected (i.e. cash on hand)</w:t>
      </w:r>
      <w:r w:rsidR="0035522A" w:rsidRPr="0035522A">
        <w:rPr>
          <w:szCs w:val="24"/>
        </w:rPr>
        <w:t xml:space="preserve"> </w:t>
      </w:r>
      <w:r w:rsidR="0035522A">
        <w:rPr>
          <w:szCs w:val="24"/>
        </w:rPr>
        <w:t>–</w:t>
      </w:r>
      <w:r w:rsidR="0035522A" w:rsidRPr="0035522A">
        <w:rPr>
          <w:szCs w:val="24"/>
        </w:rPr>
        <w:t xml:space="preserve"> These</w:t>
      </w:r>
      <w:r w:rsidR="0035522A">
        <w:rPr>
          <w:szCs w:val="24"/>
        </w:rPr>
        <w:t xml:space="preserve"> amounts may represent timing differences between collection</w:t>
      </w:r>
      <w:r w:rsidR="00812AD7">
        <w:rPr>
          <w:szCs w:val="24"/>
        </w:rPr>
        <w:t>s</w:t>
      </w:r>
      <w:r w:rsidR="0035522A">
        <w:rPr>
          <w:szCs w:val="24"/>
        </w:rPr>
        <w:t xml:space="preserve"> and disbursements, or they may represent partial payments received that have not yet been disbursed, based on the entity’s policy for disbursing partial payments received.</w:t>
      </w:r>
    </w:p>
    <w:p w:rsidR="00847D2B" w:rsidRDefault="00847D2B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847D2B">
        <w:rPr>
          <w:b/>
          <w:i/>
          <w:szCs w:val="24"/>
        </w:rPr>
        <w:t>Add: Collections</w:t>
      </w:r>
      <w:r>
        <w:rPr>
          <w:szCs w:val="24"/>
        </w:rPr>
        <w:t xml:space="preserve"> – </w:t>
      </w:r>
      <w:r w:rsidR="0035522A">
        <w:rPr>
          <w:szCs w:val="24"/>
        </w:rPr>
        <w:t>A</w:t>
      </w:r>
      <w:r>
        <w:rPr>
          <w:szCs w:val="24"/>
        </w:rPr>
        <w:t xml:space="preserve">ll amounts in this section should be recorded at gross, and </w:t>
      </w:r>
      <w:r w:rsidR="0035522A">
        <w:rPr>
          <w:szCs w:val="24"/>
        </w:rPr>
        <w:t>changes to the 12 collection</w:t>
      </w:r>
      <w:r>
        <w:rPr>
          <w:szCs w:val="24"/>
        </w:rPr>
        <w:t xml:space="preserve"> types are NOT permitted</w:t>
      </w:r>
      <w:r w:rsidR="00E91257">
        <w:rPr>
          <w:szCs w:val="24"/>
        </w:rPr>
        <w:t xml:space="preserve"> under any circumstance</w:t>
      </w:r>
      <w:r w:rsidR="00812AD7">
        <w:rPr>
          <w:szCs w:val="24"/>
        </w:rPr>
        <w:t>s</w:t>
      </w:r>
      <w:r w:rsidR="0035522A">
        <w:rPr>
          <w:szCs w:val="24"/>
        </w:rPr>
        <w:t>.</w:t>
      </w:r>
    </w:p>
    <w:p w:rsidR="00847D2B" w:rsidRDefault="00847D2B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lastRenderedPageBreak/>
        <w:t>Less</w:t>
      </w:r>
      <w:r w:rsidRPr="00847D2B">
        <w:rPr>
          <w:b/>
          <w:i/>
          <w:szCs w:val="24"/>
        </w:rPr>
        <w:t>: Disbursements to Governments &amp; Nonprofits</w:t>
      </w:r>
      <w:r>
        <w:rPr>
          <w:szCs w:val="24"/>
        </w:rPr>
        <w:t xml:space="preserve"> </w:t>
      </w:r>
      <w:r w:rsidR="0035522A">
        <w:rPr>
          <w:szCs w:val="24"/>
        </w:rPr>
        <w:t>–</w:t>
      </w:r>
      <w:r>
        <w:rPr>
          <w:szCs w:val="24"/>
        </w:rPr>
        <w:t xml:space="preserve"> </w:t>
      </w:r>
      <w:r w:rsidR="0035522A">
        <w:rPr>
          <w:szCs w:val="24"/>
        </w:rPr>
        <w:t>Th</w:t>
      </w:r>
      <w:r w:rsidR="00E91257">
        <w:rPr>
          <w:szCs w:val="24"/>
        </w:rPr>
        <w:t>is section</w:t>
      </w:r>
      <w:r w:rsidR="0035522A">
        <w:rPr>
          <w:szCs w:val="24"/>
        </w:rPr>
        <w:t xml:space="preserve"> must include a separate line for each government</w:t>
      </w:r>
      <w:r w:rsidR="00812AD7">
        <w:rPr>
          <w:szCs w:val="24"/>
        </w:rPr>
        <w:t>/</w:t>
      </w:r>
      <w:r w:rsidR="0035522A">
        <w:rPr>
          <w:szCs w:val="24"/>
        </w:rPr>
        <w:t>nonprofit entity and collection type.  This means that an entity could be listed multiple times if it receives disbursements from multiple collection types.</w:t>
      </w:r>
    </w:p>
    <w:p w:rsidR="0035522A" w:rsidRDefault="0035522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672C46">
        <w:rPr>
          <w:b/>
          <w:i/>
          <w:szCs w:val="24"/>
        </w:rPr>
        <w:t>Less: Amounts Retained by Collecting Agency</w:t>
      </w:r>
      <w:r>
        <w:rPr>
          <w:szCs w:val="24"/>
        </w:rPr>
        <w:t xml:space="preserve"> – </w:t>
      </w:r>
      <w:r w:rsidR="00672C46">
        <w:rPr>
          <w:szCs w:val="24"/>
        </w:rPr>
        <w:t>Collection fees must be separated between those that are based on a percentage of collections (e.g. 1% of total court fines collected) and those that are based on a flat amount (e.g. $5 per account collected).  The amounts “self-disbursed” represent those retained by the collecting agency</w:t>
      </w:r>
      <w:r w:rsidR="00812AD7">
        <w:rPr>
          <w:szCs w:val="24"/>
        </w:rPr>
        <w:t xml:space="preserve"> (</w:t>
      </w:r>
      <w:r w:rsidR="00672C46">
        <w:rPr>
          <w:szCs w:val="24"/>
        </w:rPr>
        <w:t>not related to a collection fee</w:t>
      </w:r>
      <w:r w:rsidR="00812AD7">
        <w:rPr>
          <w:szCs w:val="24"/>
        </w:rPr>
        <w:t>)</w:t>
      </w:r>
      <w:r w:rsidR="00672C46">
        <w:rPr>
          <w:szCs w:val="24"/>
        </w:rPr>
        <w:t xml:space="preserve"> and </w:t>
      </w:r>
      <w:r w:rsidR="004A64D0">
        <w:rPr>
          <w:szCs w:val="24"/>
        </w:rPr>
        <w:t xml:space="preserve">must be </w:t>
      </w:r>
      <w:r w:rsidR="00672C46">
        <w:rPr>
          <w:szCs w:val="24"/>
        </w:rPr>
        <w:t>broken down on separate lines by collection type (e.g. a sheriff that statutorily receives a portion of a fine or fee).</w:t>
      </w:r>
    </w:p>
    <w:p w:rsidR="0035522A" w:rsidRDefault="0035522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A0184A">
        <w:rPr>
          <w:b/>
          <w:i/>
          <w:szCs w:val="24"/>
        </w:rPr>
        <w:t>Less: Disbursements to Individuals/3</w:t>
      </w:r>
      <w:r w:rsidRPr="00A0184A">
        <w:rPr>
          <w:b/>
          <w:i/>
          <w:szCs w:val="24"/>
          <w:vertAlign w:val="superscript"/>
        </w:rPr>
        <w:t>rd</w:t>
      </w:r>
      <w:r w:rsidRPr="00A0184A">
        <w:rPr>
          <w:b/>
          <w:i/>
          <w:szCs w:val="24"/>
        </w:rPr>
        <w:t xml:space="preserve"> Party Collection or Processing Agencies</w:t>
      </w:r>
      <w:r>
        <w:rPr>
          <w:szCs w:val="24"/>
        </w:rPr>
        <w:t xml:space="preserve"> – </w:t>
      </w:r>
      <w:r w:rsidR="00F74A5D">
        <w:rPr>
          <w:szCs w:val="24"/>
        </w:rPr>
        <w:t>All amounts in this section represent disbursements to individuals or businesses.</w:t>
      </w:r>
    </w:p>
    <w:p w:rsidR="00F558CA" w:rsidRDefault="00F558CA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>Ending B</w:t>
      </w:r>
      <w:r w:rsidR="00672C46">
        <w:rPr>
          <w:b/>
          <w:i/>
          <w:szCs w:val="24"/>
        </w:rPr>
        <w:t xml:space="preserve">alance of “Partial Payments” Collected but not Disbursed </w:t>
      </w:r>
      <w:r w:rsidR="00672C46">
        <w:rPr>
          <w:szCs w:val="24"/>
        </w:rPr>
        <w:t xml:space="preserve">– </w:t>
      </w:r>
      <w:r w:rsidR="00F74A5D">
        <w:rPr>
          <w:szCs w:val="24"/>
        </w:rPr>
        <w:t>This balance represents partial payments received that have not yet been disbursed, based on the entity’s policy for disbursing partial payments received.  For example, some collecting agencies only make a disbursement once 100% of an assessment has been collected.</w:t>
      </w:r>
    </w:p>
    <w:p w:rsidR="00672C46" w:rsidRDefault="00672C46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Ending Balance of Total Amounts Assessed but not yet Collected </w:t>
      </w:r>
      <w:r>
        <w:rPr>
          <w:szCs w:val="24"/>
        </w:rPr>
        <w:t xml:space="preserve">– </w:t>
      </w:r>
      <w:r w:rsidR="00F74A5D">
        <w:rPr>
          <w:szCs w:val="24"/>
        </w:rPr>
        <w:t>This balance represents outstanding receivables, such as amounts assessed/imposed by a court that have not yet been paid by a defendant.</w:t>
      </w:r>
    </w:p>
    <w:p w:rsidR="00672C46" w:rsidRDefault="00672C46" w:rsidP="00847D2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Total Waivers During the Fiscal Period </w:t>
      </w:r>
      <w:r w:rsidR="00F74A5D">
        <w:rPr>
          <w:szCs w:val="24"/>
        </w:rPr>
        <w:t>–</w:t>
      </w:r>
      <w:r>
        <w:rPr>
          <w:szCs w:val="24"/>
        </w:rPr>
        <w:t xml:space="preserve"> </w:t>
      </w:r>
      <w:r w:rsidR="00F74A5D">
        <w:rPr>
          <w:szCs w:val="24"/>
        </w:rPr>
        <w:t>Waivers include the amounts by which receivables have been reduced for non-cash activities, such as time served or community service.</w:t>
      </w:r>
    </w:p>
    <w:p w:rsidR="00F74A5D" w:rsidRPr="00847D2B" w:rsidRDefault="00F74A5D" w:rsidP="00F74A5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Receiving</w:t>
      </w:r>
      <w:r w:rsidRPr="00847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</w:p>
    <w:p w:rsidR="00F74A5D" w:rsidRDefault="00F74A5D" w:rsidP="00F74A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Schedule must be completed by all entities (e.g. </w:t>
      </w:r>
      <w:r w:rsidR="0085440B">
        <w:rPr>
          <w:rFonts w:ascii="Times New Roman" w:hAnsi="Times New Roman" w:cs="Times New Roman"/>
          <w:sz w:val="24"/>
          <w:szCs w:val="24"/>
        </w:rPr>
        <w:t>court, parish, public defender</w:t>
      </w:r>
      <w:r>
        <w:rPr>
          <w:rFonts w:ascii="Times New Roman" w:hAnsi="Times New Roman" w:cs="Times New Roman"/>
          <w:sz w:val="24"/>
          <w:szCs w:val="24"/>
        </w:rPr>
        <w:t xml:space="preserve">) that receive pre- or post-adjudication costs, fines, and fees </w:t>
      </w:r>
      <w:r w:rsidR="0085440B">
        <w:rPr>
          <w:rFonts w:ascii="Times New Roman" w:hAnsi="Times New Roman" w:cs="Times New Roman"/>
          <w:sz w:val="24"/>
          <w:szCs w:val="24"/>
        </w:rPr>
        <w:t>from a collecting/disbursing agency.</w:t>
      </w:r>
      <w:r w:rsidR="00BF6BED">
        <w:rPr>
          <w:rFonts w:ascii="Times New Roman" w:hAnsi="Times New Roman" w:cs="Times New Roman"/>
          <w:sz w:val="24"/>
          <w:szCs w:val="24"/>
        </w:rPr>
        <w:t xml:space="preserve">  </w:t>
      </w:r>
      <w:r w:rsidR="0085440B">
        <w:rPr>
          <w:rFonts w:ascii="Times New Roman" w:hAnsi="Times New Roman" w:cs="Times New Roman"/>
          <w:sz w:val="24"/>
          <w:szCs w:val="24"/>
        </w:rPr>
        <w:t>If a receiving agency is legally required to maintain and report separate funds for pre- or post-adjudication costs, fines, or fees (e.g. courts), the receiving agency should prepare a separate receiving schedule for each fund, such as Judicial Expense Fund or Drug Court Fund.</w:t>
      </w:r>
      <w:r w:rsidR="00BF6B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major sections of the Schedule, other than totals, are as follows:</w:t>
      </w:r>
    </w:p>
    <w:p w:rsidR="0085440B" w:rsidRDefault="0085440B" w:rsidP="0085440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>
        <w:rPr>
          <w:b/>
          <w:i/>
          <w:szCs w:val="24"/>
        </w:rPr>
        <w:t xml:space="preserve">Receipts From: </w:t>
      </w:r>
      <w:r>
        <w:rPr>
          <w:szCs w:val="24"/>
        </w:rPr>
        <w:t>– Th</w:t>
      </w:r>
      <w:r w:rsidR="00E91257">
        <w:rPr>
          <w:szCs w:val="24"/>
        </w:rPr>
        <w:t>is section</w:t>
      </w:r>
      <w:r>
        <w:rPr>
          <w:szCs w:val="24"/>
        </w:rPr>
        <w:t xml:space="preserve"> must include a separate line for each disbursing entity and collection type.  This means that an entity could be listed multiple times if it </w:t>
      </w:r>
      <w:r w:rsidR="00D5553D">
        <w:rPr>
          <w:szCs w:val="24"/>
        </w:rPr>
        <w:t>disburses multiple collection types to the receiving entity.</w:t>
      </w:r>
      <w:r w:rsidR="00E91257">
        <w:rPr>
          <w:szCs w:val="24"/>
        </w:rPr>
        <w:t xml:space="preserve">  The same 12 collection types from the collecting/disbursing schedule must be used in this section, and changes to the collection types are NOT permitted under any circumstance.</w:t>
      </w:r>
    </w:p>
    <w:p w:rsidR="00BF6BED" w:rsidRPr="006520FA" w:rsidRDefault="0085440B" w:rsidP="00E34D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/>
        <w:contextualSpacing w:val="0"/>
        <w:jc w:val="both"/>
        <w:rPr>
          <w:szCs w:val="24"/>
        </w:rPr>
      </w:pPr>
      <w:r w:rsidRPr="006520FA">
        <w:rPr>
          <w:b/>
          <w:i/>
          <w:szCs w:val="24"/>
        </w:rPr>
        <w:t xml:space="preserve">Ending Balance of Total Amounts Assessed but not yet Received </w:t>
      </w:r>
      <w:r w:rsidRPr="006520FA">
        <w:rPr>
          <w:szCs w:val="24"/>
        </w:rPr>
        <w:t xml:space="preserve">– This balance represents outstanding receivables, such as amounts assessed/imposed by a court that have not yet been </w:t>
      </w:r>
      <w:r w:rsidR="00D5553D" w:rsidRPr="006520FA">
        <w:rPr>
          <w:szCs w:val="24"/>
        </w:rPr>
        <w:t xml:space="preserve">collected and/or </w:t>
      </w:r>
      <w:r w:rsidRPr="006520FA">
        <w:rPr>
          <w:szCs w:val="24"/>
        </w:rPr>
        <w:t>received from</w:t>
      </w:r>
      <w:r w:rsidR="00D5553D" w:rsidRPr="006520FA">
        <w:rPr>
          <w:szCs w:val="24"/>
        </w:rPr>
        <w:t xml:space="preserve"> a collecting/disbursing agency.</w:t>
      </w:r>
    </w:p>
    <w:sectPr w:rsidR="00BF6BED" w:rsidRPr="006520FA" w:rsidSect="007D679A">
      <w:headerReference w:type="default" r:id="rId9"/>
      <w:footerReference w:type="default" r:id="rId10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3" w:rsidRDefault="00B35DC3" w:rsidP="00CD2DF8">
      <w:pPr>
        <w:spacing w:after="0" w:line="240" w:lineRule="auto"/>
      </w:pPr>
      <w:r>
        <w:separator/>
      </w:r>
    </w:p>
  </w:endnote>
  <w:endnote w:type="continuationSeparator" w:id="0">
    <w:p w:rsidR="00B35DC3" w:rsidRDefault="00B35DC3" w:rsidP="00CD2DF8">
      <w:pPr>
        <w:spacing w:after="0" w:line="240" w:lineRule="auto"/>
      </w:pPr>
      <w:r>
        <w:continuationSeparator/>
      </w:r>
    </w:p>
  </w:endnote>
  <w:endnote w:type="continuationNotice" w:id="1">
    <w:p w:rsidR="00B35DC3" w:rsidRDefault="00B3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5DC3" w:rsidRDefault="00B35D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35DC3" w:rsidRPr="00C72C8C" w:rsidRDefault="003520B4">
    <w:pPr>
      <w:pStyle w:val="Footer"/>
      <w:rPr>
        <w:i/>
      </w:rPr>
    </w:pPr>
    <w:r>
      <w:rPr>
        <w:i/>
      </w:rPr>
      <w:t>Last Updated:</w:t>
    </w:r>
    <w:r w:rsidR="001C5AFA">
      <w:rPr>
        <w:i/>
      </w:rPr>
      <w:t xml:space="preserve"> </w:t>
    </w:r>
    <w:r w:rsidR="00990437">
      <w:rPr>
        <w:i/>
      </w:rPr>
      <w:t>December</w:t>
    </w:r>
    <w:r w:rsidR="00755CE9">
      <w:rPr>
        <w:i/>
      </w:rPr>
      <w:t xml:space="preserve"> </w:t>
    </w:r>
    <w:r w:rsidR="00F723B2">
      <w:rPr>
        <w:i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3" w:rsidRDefault="00B35DC3" w:rsidP="00CD2DF8">
      <w:pPr>
        <w:spacing w:after="0" w:line="240" w:lineRule="auto"/>
      </w:pPr>
      <w:r>
        <w:separator/>
      </w:r>
    </w:p>
  </w:footnote>
  <w:footnote w:type="continuationSeparator" w:id="0">
    <w:p w:rsidR="00B35DC3" w:rsidRDefault="00B35DC3" w:rsidP="00CD2DF8">
      <w:pPr>
        <w:spacing w:after="0" w:line="240" w:lineRule="auto"/>
      </w:pPr>
      <w:r>
        <w:continuationSeparator/>
      </w:r>
    </w:p>
  </w:footnote>
  <w:footnote w:type="continuationNotice" w:id="1">
    <w:p w:rsidR="00B35DC3" w:rsidRDefault="00B35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93" w:rsidRPr="00920DCF" w:rsidRDefault="00302D4E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44"/>
        <w:szCs w:val="44"/>
      </w:rPr>
    </w:pPr>
    <w:r w:rsidRPr="00920DCF">
      <w:rPr>
        <w:rFonts w:ascii="Times New Roman" w:hAnsi="Times New Roman" w:cs="Times New Roman"/>
        <w:b/>
        <w:i/>
        <w:sz w:val="44"/>
        <w:szCs w:val="44"/>
      </w:rPr>
      <w:t>Justice System Funding</w:t>
    </w:r>
    <w:r w:rsidR="005E0493" w:rsidRPr="00920DCF">
      <w:rPr>
        <w:rFonts w:ascii="Times New Roman" w:hAnsi="Times New Roman" w:cs="Times New Roman"/>
        <w:b/>
        <w:i/>
        <w:sz w:val="44"/>
        <w:szCs w:val="44"/>
      </w:rPr>
      <w:t xml:space="preserve"> </w:t>
    </w:r>
    <w:r w:rsidR="00D14CC9" w:rsidRPr="00920DCF">
      <w:rPr>
        <w:rFonts w:ascii="Times New Roman" w:hAnsi="Times New Roman" w:cs="Times New Roman"/>
        <w:b/>
        <w:i/>
        <w:sz w:val="44"/>
        <w:szCs w:val="44"/>
      </w:rPr>
      <w:t xml:space="preserve">Reporting </w:t>
    </w:r>
    <w:r w:rsidR="005E0493" w:rsidRPr="00920DCF">
      <w:rPr>
        <w:rFonts w:ascii="Times New Roman" w:hAnsi="Times New Roman" w:cs="Times New Roman"/>
        <w:b/>
        <w:i/>
        <w:sz w:val="44"/>
        <w:szCs w:val="44"/>
      </w:rPr>
      <w:t>Schedule</w:t>
    </w:r>
    <w:r w:rsidR="00763166">
      <w:rPr>
        <w:rFonts w:ascii="Times New Roman" w:hAnsi="Times New Roman" w:cs="Times New Roman"/>
        <w:b/>
        <w:i/>
        <w:sz w:val="44"/>
        <w:szCs w:val="44"/>
      </w:rPr>
      <w:t>s</w:t>
    </w:r>
  </w:p>
  <w:p w:rsidR="00634B96" w:rsidRDefault="00634B96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As Required by Act 87 of the 2020 Regular Legislative Session</w:t>
    </w:r>
  </w:p>
  <w:p w:rsidR="00B35DC3" w:rsidRDefault="00634B96" w:rsidP="0032176A">
    <w:pPr>
      <w:pStyle w:val="Header"/>
      <w:spacing w:after="120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For</w:t>
    </w:r>
    <w:r w:rsidR="00B35DC3">
      <w:rPr>
        <w:rFonts w:ascii="Times New Roman" w:hAnsi="Times New Roman" w:cs="Times New Roman"/>
        <w:b/>
        <w:i/>
        <w:sz w:val="32"/>
        <w:szCs w:val="32"/>
      </w:rPr>
      <w:t xml:space="preserve"> Fiscal Years Ending </w:t>
    </w:r>
    <w:r w:rsidR="005E0493">
      <w:rPr>
        <w:rFonts w:ascii="Times New Roman" w:hAnsi="Times New Roman" w:cs="Times New Roman"/>
        <w:b/>
        <w:i/>
        <w:sz w:val="32"/>
        <w:szCs w:val="32"/>
      </w:rPr>
      <w:t>12</w:t>
    </w:r>
    <w:r w:rsidR="00B35DC3">
      <w:rPr>
        <w:rFonts w:ascii="Times New Roman" w:hAnsi="Times New Roman" w:cs="Times New Roman"/>
        <w:b/>
        <w:i/>
        <w:sz w:val="32"/>
        <w:szCs w:val="32"/>
      </w:rPr>
      <w:t>/3</w:t>
    </w:r>
    <w:r w:rsidR="005E0493">
      <w:rPr>
        <w:rFonts w:ascii="Times New Roman" w:hAnsi="Times New Roman" w:cs="Times New Roman"/>
        <w:b/>
        <w:i/>
        <w:sz w:val="32"/>
        <w:szCs w:val="32"/>
      </w:rPr>
      <w:t>1</w:t>
    </w:r>
    <w:r w:rsidR="00B35DC3">
      <w:rPr>
        <w:rFonts w:ascii="Times New Roman" w:hAnsi="Times New Roman" w:cs="Times New Roman"/>
        <w:b/>
        <w:i/>
        <w:sz w:val="32"/>
        <w:szCs w:val="32"/>
      </w:rPr>
      <w:t>/20</w:t>
    </w:r>
    <w:r w:rsidR="005E0493">
      <w:rPr>
        <w:rFonts w:ascii="Times New Roman" w:hAnsi="Times New Roman" w:cs="Times New Roman"/>
        <w:b/>
        <w:i/>
        <w:sz w:val="32"/>
        <w:szCs w:val="32"/>
      </w:rPr>
      <w:t>20</w:t>
    </w:r>
    <w:r w:rsidR="00B35DC3">
      <w:rPr>
        <w:rFonts w:ascii="Times New Roman" w:hAnsi="Times New Roman" w:cs="Times New Roman"/>
        <w:b/>
        <w:i/>
        <w:sz w:val="32"/>
        <w:szCs w:val="32"/>
      </w:rPr>
      <w:t xml:space="preserve"> </w:t>
    </w:r>
    <w:r>
      <w:rPr>
        <w:rFonts w:ascii="Times New Roman" w:hAnsi="Times New Roman" w:cs="Times New Roman"/>
        <w:b/>
        <w:i/>
        <w:sz w:val="32"/>
        <w:szCs w:val="32"/>
      </w:rPr>
      <w:t>and Later</w:t>
    </w:r>
  </w:p>
  <w:p w:rsidR="00B35DC3" w:rsidRPr="002733E5" w:rsidRDefault="00B35DC3" w:rsidP="002733E5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B91"/>
    <w:multiLevelType w:val="hybridMultilevel"/>
    <w:tmpl w:val="B358E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9AE"/>
    <w:multiLevelType w:val="hybridMultilevel"/>
    <w:tmpl w:val="4550869A"/>
    <w:lvl w:ilvl="0" w:tplc="54584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ED7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47A0A"/>
    <w:multiLevelType w:val="hybridMultilevel"/>
    <w:tmpl w:val="9956F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E4D75"/>
    <w:multiLevelType w:val="hybridMultilevel"/>
    <w:tmpl w:val="687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EDA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2A1125"/>
    <w:multiLevelType w:val="hybridMultilevel"/>
    <w:tmpl w:val="B336D4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40AC4"/>
    <w:multiLevelType w:val="hybridMultilevel"/>
    <w:tmpl w:val="80B0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9604B"/>
    <w:multiLevelType w:val="hybridMultilevel"/>
    <w:tmpl w:val="CCF687C4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5667E2"/>
    <w:multiLevelType w:val="hybridMultilevel"/>
    <w:tmpl w:val="442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46086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423180"/>
    <w:multiLevelType w:val="hybridMultilevel"/>
    <w:tmpl w:val="D5D84FE0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A7784D"/>
    <w:multiLevelType w:val="hybridMultilevel"/>
    <w:tmpl w:val="C938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F913EF"/>
    <w:multiLevelType w:val="hybridMultilevel"/>
    <w:tmpl w:val="F29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7BD39A7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00E01"/>
    <w:multiLevelType w:val="hybridMultilevel"/>
    <w:tmpl w:val="D6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6A5ABE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330F8"/>
    <w:multiLevelType w:val="hybridMultilevel"/>
    <w:tmpl w:val="663EEF8C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D10DF"/>
    <w:multiLevelType w:val="hybridMultilevel"/>
    <w:tmpl w:val="B2C6EA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42"/>
  </w:num>
  <w:num w:numId="5">
    <w:abstractNumId w:val="11"/>
  </w:num>
  <w:num w:numId="6">
    <w:abstractNumId w:val="35"/>
  </w:num>
  <w:num w:numId="7">
    <w:abstractNumId w:val="6"/>
  </w:num>
  <w:num w:numId="8">
    <w:abstractNumId w:val="26"/>
  </w:num>
  <w:num w:numId="9">
    <w:abstractNumId w:val="32"/>
  </w:num>
  <w:num w:numId="10">
    <w:abstractNumId w:val="20"/>
  </w:num>
  <w:num w:numId="11">
    <w:abstractNumId w:val="46"/>
  </w:num>
  <w:num w:numId="12">
    <w:abstractNumId w:val="30"/>
  </w:num>
  <w:num w:numId="13">
    <w:abstractNumId w:val="24"/>
  </w:num>
  <w:num w:numId="14">
    <w:abstractNumId w:val="12"/>
  </w:num>
  <w:num w:numId="15">
    <w:abstractNumId w:val="37"/>
  </w:num>
  <w:num w:numId="16">
    <w:abstractNumId w:val="8"/>
  </w:num>
  <w:num w:numId="17">
    <w:abstractNumId w:val="38"/>
  </w:num>
  <w:num w:numId="18">
    <w:abstractNumId w:val="29"/>
  </w:num>
  <w:num w:numId="19">
    <w:abstractNumId w:val="45"/>
  </w:num>
  <w:num w:numId="20">
    <w:abstractNumId w:val="28"/>
  </w:num>
  <w:num w:numId="21">
    <w:abstractNumId w:val="41"/>
  </w:num>
  <w:num w:numId="22">
    <w:abstractNumId w:val="18"/>
  </w:num>
  <w:num w:numId="23">
    <w:abstractNumId w:val="39"/>
  </w:num>
  <w:num w:numId="24">
    <w:abstractNumId w:val="40"/>
  </w:num>
  <w:num w:numId="25">
    <w:abstractNumId w:val="17"/>
  </w:num>
  <w:num w:numId="26">
    <w:abstractNumId w:val="7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47"/>
  </w:num>
  <w:num w:numId="32">
    <w:abstractNumId w:val="15"/>
  </w:num>
  <w:num w:numId="33">
    <w:abstractNumId w:val="43"/>
  </w:num>
  <w:num w:numId="34">
    <w:abstractNumId w:val="34"/>
  </w:num>
  <w:num w:numId="35">
    <w:abstractNumId w:val="3"/>
  </w:num>
  <w:num w:numId="36">
    <w:abstractNumId w:val="36"/>
  </w:num>
  <w:num w:numId="37">
    <w:abstractNumId w:val="2"/>
  </w:num>
  <w:num w:numId="38">
    <w:abstractNumId w:val="22"/>
  </w:num>
  <w:num w:numId="39">
    <w:abstractNumId w:val="13"/>
  </w:num>
  <w:num w:numId="40">
    <w:abstractNumId w:val="9"/>
  </w:num>
  <w:num w:numId="41">
    <w:abstractNumId w:val="21"/>
  </w:num>
  <w:num w:numId="42">
    <w:abstractNumId w:val="33"/>
  </w:num>
  <w:num w:numId="43">
    <w:abstractNumId w:val="10"/>
  </w:num>
  <w:num w:numId="44">
    <w:abstractNumId w:val="1"/>
  </w:num>
  <w:num w:numId="45">
    <w:abstractNumId w:val="0"/>
  </w:num>
  <w:num w:numId="46">
    <w:abstractNumId w:val="31"/>
  </w:num>
  <w:num w:numId="47">
    <w:abstractNumId w:val="19"/>
  </w:num>
  <w:num w:numId="4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09"/>
    <w:rsid w:val="000052E0"/>
    <w:rsid w:val="00006DAD"/>
    <w:rsid w:val="000113E9"/>
    <w:rsid w:val="00012F1D"/>
    <w:rsid w:val="000139F2"/>
    <w:rsid w:val="00013BAF"/>
    <w:rsid w:val="0001448D"/>
    <w:rsid w:val="00014AEA"/>
    <w:rsid w:val="00015F17"/>
    <w:rsid w:val="000213E1"/>
    <w:rsid w:val="00021626"/>
    <w:rsid w:val="00023AF8"/>
    <w:rsid w:val="00032942"/>
    <w:rsid w:val="000335EB"/>
    <w:rsid w:val="0003432E"/>
    <w:rsid w:val="000346FE"/>
    <w:rsid w:val="00040061"/>
    <w:rsid w:val="000414DB"/>
    <w:rsid w:val="00044745"/>
    <w:rsid w:val="000447BE"/>
    <w:rsid w:val="00044BC0"/>
    <w:rsid w:val="00045251"/>
    <w:rsid w:val="00045882"/>
    <w:rsid w:val="00045A66"/>
    <w:rsid w:val="00045CFE"/>
    <w:rsid w:val="0005023F"/>
    <w:rsid w:val="00050483"/>
    <w:rsid w:val="0006204B"/>
    <w:rsid w:val="00074446"/>
    <w:rsid w:val="000905B3"/>
    <w:rsid w:val="00090DAE"/>
    <w:rsid w:val="00091088"/>
    <w:rsid w:val="0009149A"/>
    <w:rsid w:val="00092367"/>
    <w:rsid w:val="00096C77"/>
    <w:rsid w:val="000A1511"/>
    <w:rsid w:val="000A1C74"/>
    <w:rsid w:val="000B20BA"/>
    <w:rsid w:val="000B7B0D"/>
    <w:rsid w:val="000C0840"/>
    <w:rsid w:val="000C4DF8"/>
    <w:rsid w:val="000D3BBC"/>
    <w:rsid w:val="000E1194"/>
    <w:rsid w:val="000E1CFA"/>
    <w:rsid w:val="000E6285"/>
    <w:rsid w:val="000E675B"/>
    <w:rsid w:val="000F5F61"/>
    <w:rsid w:val="000F6350"/>
    <w:rsid w:val="00104EE8"/>
    <w:rsid w:val="00112C09"/>
    <w:rsid w:val="00113BA7"/>
    <w:rsid w:val="00116ACC"/>
    <w:rsid w:val="001225C3"/>
    <w:rsid w:val="00122CCE"/>
    <w:rsid w:val="00123E29"/>
    <w:rsid w:val="00127DDF"/>
    <w:rsid w:val="001309C8"/>
    <w:rsid w:val="00132BBC"/>
    <w:rsid w:val="001338F5"/>
    <w:rsid w:val="00133A56"/>
    <w:rsid w:val="00134ACA"/>
    <w:rsid w:val="001359BF"/>
    <w:rsid w:val="00140694"/>
    <w:rsid w:val="00141FA6"/>
    <w:rsid w:val="00150CFC"/>
    <w:rsid w:val="001518BB"/>
    <w:rsid w:val="00156DE8"/>
    <w:rsid w:val="00157DED"/>
    <w:rsid w:val="00161C27"/>
    <w:rsid w:val="001627D5"/>
    <w:rsid w:val="001652BB"/>
    <w:rsid w:val="00165EA8"/>
    <w:rsid w:val="00167C21"/>
    <w:rsid w:val="00171511"/>
    <w:rsid w:val="00171F23"/>
    <w:rsid w:val="00174E1F"/>
    <w:rsid w:val="00175E7A"/>
    <w:rsid w:val="00180FE2"/>
    <w:rsid w:val="00184AF4"/>
    <w:rsid w:val="00190D8F"/>
    <w:rsid w:val="001914FA"/>
    <w:rsid w:val="0019247F"/>
    <w:rsid w:val="00193262"/>
    <w:rsid w:val="00193752"/>
    <w:rsid w:val="001951EE"/>
    <w:rsid w:val="001B07AE"/>
    <w:rsid w:val="001B4CAC"/>
    <w:rsid w:val="001C40B6"/>
    <w:rsid w:val="001C45C2"/>
    <w:rsid w:val="001C5AFA"/>
    <w:rsid w:val="001C6B55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0481C"/>
    <w:rsid w:val="002066AE"/>
    <w:rsid w:val="00214718"/>
    <w:rsid w:val="00216CC0"/>
    <w:rsid w:val="00221932"/>
    <w:rsid w:val="0022226C"/>
    <w:rsid w:val="00222B99"/>
    <w:rsid w:val="00223C6C"/>
    <w:rsid w:val="002269AC"/>
    <w:rsid w:val="00227127"/>
    <w:rsid w:val="00230F9C"/>
    <w:rsid w:val="002313E5"/>
    <w:rsid w:val="00231F20"/>
    <w:rsid w:val="00234093"/>
    <w:rsid w:val="00234884"/>
    <w:rsid w:val="00234F0A"/>
    <w:rsid w:val="00236E56"/>
    <w:rsid w:val="0024621E"/>
    <w:rsid w:val="00251C4D"/>
    <w:rsid w:val="00253B69"/>
    <w:rsid w:val="00257199"/>
    <w:rsid w:val="00260139"/>
    <w:rsid w:val="00261601"/>
    <w:rsid w:val="00263767"/>
    <w:rsid w:val="00264308"/>
    <w:rsid w:val="00265C61"/>
    <w:rsid w:val="00267B77"/>
    <w:rsid w:val="00270290"/>
    <w:rsid w:val="002717CE"/>
    <w:rsid w:val="00272C89"/>
    <w:rsid w:val="002733E5"/>
    <w:rsid w:val="00281E36"/>
    <w:rsid w:val="00283A93"/>
    <w:rsid w:val="0028742C"/>
    <w:rsid w:val="002962B9"/>
    <w:rsid w:val="002A0D6F"/>
    <w:rsid w:val="002A1F21"/>
    <w:rsid w:val="002A2CBD"/>
    <w:rsid w:val="002A31C2"/>
    <w:rsid w:val="002B52B9"/>
    <w:rsid w:val="002B6D70"/>
    <w:rsid w:val="002C4D7A"/>
    <w:rsid w:val="002C5B04"/>
    <w:rsid w:val="002C6A0C"/>
    <w:rsid w:val="002C6BD7"/>
    <w:rsid w:val="002C71F7"/>
    <w:rsid w:val="002D4E2A"/>
    <w:rsid w:val="002D5A8B"/>
    <w:rsid w:val="002E0BEB"/>
    <w:rsid w:val="002E1FEB"/>
    <w:rsid w:val="002E2C16"/>
    <w:rsid w:val="002E4614"/>
    <w:rsid w:val="002F3F44"/>
    <w:rsid w:val="002F67DF"/>
    <w:rsid w:val="002F78E5"/>
    <w:rsid w:val="003009E6"/>
    <w:rsid w:val="00300B27"/>
    <w:rsid w:val="00301E94"/>
    <w:rsid w:val="00302D4E"/>
    <w:rsid w:val="003057C9"/>
    <w:rsid w:val="003138B1"/>
    <w:rsid w:val="0031415A"/>
    <w:rsid w:val="00317B61"/>
    <w:rsid w:val="0032176A"/>
    <w:rsid w:val="00321806"/>
    <w:rsid w:val="003245F5"/>
    <w:rsid w:val="00327BD8"/>
    <w:rsid w:val="00336628"/>
    <w:rsid w:val="00337B8D"/>
    <w:rsid w:val="003455C5"/>
    <w:rsid w:val="003520B4"/>
    <w:rsid w:val="0035522A"/>
    <w:rsid w:val="00355233"/>
    <w:rsid w:val="00356ED4"/>
    <w:rsid w:val="00357714"/>
    <w:rsid w:val="00360777"/>
    <w:rsid w:val="003709BD"/>
    <w:rsid w:val="00370B8A"/>
    <w:rsid w:val="003727AF"/>
    <w:rsid w:val="00373282"/>
    <w:rsid w:val="00376027"/>
    <w:rsid w:val="00380157"/>
    <w:rsid w:val="003814B2"/>
    <w:rsid w:val="003848DC"/>
    <w:rsid w:val="00385840"/>
    <w:rsid w:val="003864C0"/>
    <w:rsid w:val="00391A8E"/>
    <w:rsid w:val="00392002"/>
    <w:rsid w:val="00395B09"/>
    <w:rsid w:val="00397921"/>
    <w:rsid w:val="003A032A"/>
    <w:rsid w:val="003B0325"/>
    <w:rsid w:val="003C262F"/>
    <w:rsid w:val="003C3434"/>
    <w:rsid w:val="003C50A6"/>
    <w:rsid w:val="003C5B1D"/>
    <w:rsid w:val="003D0E72"/>
    <w:rsid w:val="003D2459"/>
    <w:rsid w:val="003D450D"/>
    <w:rsid w:val="003D65C2"/>
    <w:rsid w:val="003E0C2E"/>
    <w:rsid w:val="003E3850"/>
    <w:rsid w:val="003E4976"/>
    <w:rsid w:val="003E6921"/>
    <w:rsid w:val="003F6313"/>
    <w:rsid w:val="00404DDC"/>
    <w:rsid w:val="00407313"/>
    <w:rsid w:val="00417C40"/>
    <w:rsid w:val="00420985"/>
    <w:rsid w:val="00421BF0"/>
    <w:rsid w:val="00427735"/>
    <w:rsid w:val="004338D6"/>
    <w:rsid w:val="00433FFB"/>
    <w:rsid w:val="00435EF0"/>
    <w:rsid w:val="0043670C"/>
    <w:rsid w:val="00443A3A"/>
    <w:rsid w:val="00446A9D"/>
    <w:rsid w:val="00456F60"/>
    <w:rsid w:val="004574EE"/>
    <w:rsid w:val="00462601"/>
    <w:rsid w:val="0046539C"/>
    <w:rsid w:val="004673FD"/>
    <w:rsid w:val="00470EA2"/>
    <w:rsid w:val="0047487C"/>
    <w:rsid w:val="004755F2"/>
    <w:rsid w:val="00476E61"/>
    <w:rsid w:val="0047710F"/>
    <w:rsid w:val="0048032F"/>
    <w:rsid w:val="00481139"/>
    <w:rsid w:val="0048403F"/>
    <w:rsid w:val="004877C5"/>
    <w:rsid w:val="00487C69"/>
    <w:rsid w:val="00487DBF"/>
    <w:rsid w:val="00492215"/>
    <w:rsid w:val="004A1304"/>
    <w:rsid w:val="004A301A"/>
    <w:rsid w:val="004A5583"/>
    <w:rsid w:val="004A64D0"/>
    <w:rsid w:val="004A671E"/>
    <w:rsid w:val="004B2E79"/>
    <w:rsid w:val="004B512F"/>
    <w:rsid w:val="004B5DAE"/>
    <w:rsid w:val="004C34C3"/>
    <w:rsid w:val="004C3816"/>
    <w:rsid w:val="004D0EC6"/>
    <w:rsid w:val="004D5D8E"/>
    <w:rsid w:val="004D7CF5"/>
    <w:rsid w:val="004E27CB"/>
    <w:rsid w:val="004E6A3D"/>
    <w:rsid w:val="004E6C3B"/>
    <w:rsid w:val="004F4E41"/>
    <w:rsid w:val="004F676F"/>
    <w:rsid w:val="00500B09"/>
    <w:rsid w:val="00501700"/>
    <w:rsid w:val="0050312B"/>
    <w:rsid w:val="00503E23"/>
    <w:rsid w:val="00505613"/>
    <w:rsid w:val="005061BE"/>
    <w:rsid w:val="00507A31"/>
    <w:rsid w:val="005113A5"/>
    <w:rsid w:val="00513735"/>
    <w:rsid w:val="00514B22"/>
    <w:rsid w:val="00515773"/>
    <w:rsid w:val="005224A1"/>
    <w:rsid w:val="00522ED3"/>
    <w:rsid w:val="0053056D"/>
    <w:rsid w:val="00535B07"/>
    <w:rsid w:val="00536020"/>
    <w:rsid w:val="00536990"/>
    <w:rsid w:val="00542E19"/>
    <w:rsid w:val="00546BEF"/>
    <w:rsid w:val="00552893"/>
    <w:rsid w:val="00553958"/>
    <w:rsid w:val="00553B17"/>
    <w:rsid w:val="0055452B"/>
    <w:rsid w:val="0055494F"/>
    <w:rsid w:val="0055574A"/>
    <w:rsid w:val="005567ED"/>
    <w:rsid w:val="00557BF8"/>
    <w:rsid w:val="00560FB5"/>
    <w:rsid w:val="00562124"/>
    <w:rsid w:val="0057097A"/>
    <w:rsid w:val="00572FDA"/>
    <w:rsid w:val="00576441"/>
    <w:rsid w:val="0058696F"/>
    <w:rsid w:val="005900EC"/>
    <w:rsid w:val="005A0DAC"/>
    <w:rsid w:val="005A3F2C"/>
    <w:rsid w:val="005B343A"/>
    <w:rsid w:val="005B409F"/>
    <w:rsid w:val="005B6566"/>
    <w:rsid w:val="005C2569"/>
    <w:rsid w:val="005D2CD4"/>
    <w:rsid w:val="005D5B17"/>
    <w:rsid w:val="005D6A3D"/>
    <w:rsid w:val="005E0493"/>
    <w:rsid w:val="005E123D"/>
    <w:rsid w:val="005E56F6"/>
    <w:rsid w:val="005F23DF"/>
    <w:rsid w:val="005F3697"/>
    <w:rsid w:val="005F4321"/>
    <w:rsid w:val="005F4C29"/>
    <w:rsid w:val="005F5CFD"/>
    <w:rsid w:val="005F69FF"/>
    <w:rsid w:val="005F7548"/>
    <w:rsid w:val="00600AFA"/>
    <w:rsid w:val="00600D76"/>
    <w:rsid w:val="00603E89"/>
    <w:rsid w:val="00605317"/>
    <w:rsid w:val="00610654"/>
    <w:rsid w:val="006124AE"/>
    <w:rsid w:val="006225CB"/>
    <w:rsid w:val="00622A67"/>
    <w:rsid w:val="00632BE4"/>
    <w:rsid w:val="00632D7B"/>
    <w:rsid w:val="00632DF3"/>
    <w:rsid w:val="006339C9"/>
    <w:rsid w:val="00634B96"/>
    <w:rsid w:val="0063516C"/>
    <w:rsid w:val="0064082D"/>
    <w:rsid w:val="00642142"/>
    <w:rsid w:val="006445C7"/>
    <w:rsid w:val="0064528B"/>
    <w:rsid w:val="00646972"/>
    <w:rsid w:val="006471B0"/>
    <w:rsid w:val="00650686"/>
    <w:rsid w:val="006520FA"/>
    <w:rsid w:val="006522CB"/>
    <w:rsid w:val="00655DC1"/>
    <w:rsid w:val="006662ED"/>
    <w:rsid w:val="006722AB"/>
    <w:rsid w:val="00672C46"/>
    <w:rsid w:val="00674C3D"/>
    <w:rsid w:val="006845ED"/>
    <w:rsid w:val="00684C32"/>
    <w:rsid w:val="006873DD"/>
    <w:rsid w:val="006A3E06"/>
    <w:rsid w:val="006A58D3"/>
    <w:rsid w:val="006B2C94"/>
    <w:rsid w:val="006B2E50"/>
    <w:rsid w:val="006B36DB"/>
    <w:rsid w:val="006B4221"/>
    <w:rsid w:val="006B693F"/>
    <w:rsid w:val="006C2653"/>
    <w:rsid w:val="006C5933"/>
    <w:rsid w:val="006C5E09"/>
    <w:rsid w:val="006C77BE"/>
    <w:rsid w:val="006D37CD"/>
    <w:rsid w:val="006D4518"/>
    <w:rsid w:val="006E35B6"/>
    <w:rsid w:val="006E778B"/>
    <w:rsid w:val="006F4132"/>
    <w:rsid w:val="00700AB1"/>
    <w:rsid w:val="007017EB"/>
    <w:rsid w:val="00705644"/>
    <w:rsid w:val="007070D1"/>
    <w:rsid w:val="0072074F"/>
    <w:rsid w:val="00721946"/>
    <w:rsid w:val="00723263"/>
    <w:rsid w:val="007258C8"/>
    <w:rsid w:val="00727ED6"/>
    <w:rsid w:val="00733963"/>
    <w:rsid w:val="00734365"/>
    <w:rsid w:val="00736694"/>
    <w:rsid w:val="00737C5C"/>
    <w:rsid w:val="00740670"/>
    <w:rsid w:val="00744493"/>
    <w:rsid w:val="0074504E"/>
    <w:rsid w:val="00745DC6"/>
    <w:rsid w:val="00753D3A"/>
    <w:rsid w:val="00754AF0"/>
    <w:rsid w:val="00755CE9"/>
    <w:rsid w:val="0075617B"/>
    <w:rsid w:val="00756B6E"/>
    <w:rsid w:val="007608B8"/>
    <w:rsid w:val="00763166"/>
    <w:rsid w:val="00764876"/>
    <w:rsid w:val="00767FBD"/>
    <w:rsid w:val="0077055E"/>
    <w:rsid w:val="00770BAB"/>
    <w:rsid w:val="00772A74"/>
    <w:rsid w:val="00773CBA"/>
    <w:rsid w:val="007772C7"/>
    <w:rsid w:val="00783A10"/>
    <w:rsid w:val="007869C4"/>
    <w:rsid w:val="00794E7D"/>
    <w:rsid w:val="007A24FA"/>
    <w:rsid w:val="007A360D"/>
    <w:rsid w:val="007A5A5B"/>
    <w:rsid w:val="007B16D5"/>
    <w:rsid w:val="007B760F"/>
    <w:rsid w:val="007B7A3F"/>
    <w:rsid w:val="007C3066"/>
    <w:rsid w:val="007C4393"/>
    <w:rsid w:val="007C54E7"/>
    <w:rsid w:val="007C68EA"/>
    <w:rsid w:val="007C7285"/>
    <w:rsid w:val="007C7EE7"/>
    <w:rsid w:val="007D0309"/>
    <w:rsid w:val="007D036F"/>
    <w:rsid w:val="007D19F6"/>
    <w:rsid w:val="007D2056"/>
    <w:rsid w:val="007D2CEA"/>
    <w:rsid w:val="007D679A"/>
    <w:rsid w:val="007E0DCB"/>
    <w:rsid w:val="007E4F68"/>
    <w:rsid w:val="007F1F6B"/>
    <w:rsid w:val="007F37F5"/>
    <w:rsid w:val="00800D9C"/>
    <w:rsid w:val="00800F23"/>
    <w:rsid w:val="008019BC"/>
    <w:rsid w:val="00802B25"/>
    <w:rsid w:val="00803D26"/>
    <w:rsid w:val="00804B89"/>
    <w:rsid w:val="008105D5"/>
    <w:rsid w:val="00810BB3"/>
    <w:rsid w:val="00812AD7"/>
    <w:rsid w:val="00813285"/>
    <w:rsid w:val="00820B4D"/>
    <w:rsid w:val="00822C26"/>
    <w:rsid w:val="00823086"/>
    <w:rsid w:val="00823B51"/>
    <w:rsid w:val="0082470A"/>
    <w:rsid w:val="008247EB"/>
    <w:rsid w:val="008253FC"/>
    <w:rsid w:val="0082590F"/>
    <w:rsid w:val="00831518"/>
    <w:rsid w:val="008324F2"/>
    <w:rsid w:val="00836FB3"/>
    <w:rsid w:val="00836FE4"/>
    <w:rsid w:val="00841BD7"/>
    <w:rsid w:val="00843FEA"/>
    <w:rsid w:val="00845BF4"/>
    <w:rsid w:val="00847D2B"/>
    <w:rsid w:val="00850DE4"/>
    <w:rsid w:val="00852A92"/>
    <w:rsid w:val="0085440B"/>
    <w:rsid w:val="00856BAF"/>
    <w:rsid w:val="008576B5"/>
    <w:rsid w:val="00860407"/>
    <w:rsid w:val="00867EF6"/>
    <w:rsid w:val="00871A80"/>
    <w:rsid w:val="00873F74"/>
    <w:rsid w:val="00874B9C"/>
    <w:rsid w:val="00880B8E"/>
    <w:rsid w:val="00881574"/>
    <w:rsid w:val="00890EB4"/>
    <w:rsid w:val="008942E1"/>
    <w:rsid w:val="00894EF8"/>
    <w:rsid w:val="0089520E"/>
    <w:rsid w:val="00896B3A"/>
    <w:rsid w:val="008A213D"/>
    <w:rsid w:val="008A22D0"/>
    <w:rsid w:val="008A264D"/>
    <w:rsid w:val="008B011D"/>
    <w:rsid w:val="008B4611"/>
    <w:rsid w:val="008C1A0A"/>
    <w:rsid w:val="008C34FB"/>
    <w:rsid w:val="008C53BA"/>
    <w:rsid w:val="008C5C70"/>
    <w:rsid w:val="008D412C"/>
    <w:rsid w:val="008E0A31"/>
    <w:rsid w:val="008E29FA"/>
    <w:rsid w:val="008E4A7D"/>
    <w:rsid w:val="008E4D61"/>
    <w:rsid w:val="008E695E"/>
    <w:rsid w:val="008F08C5"/>
    <w:rsid w:val="008F5AD4"/>
    <w:rsid w:val="009110B5"/>
    <w:rsid w:val="00911954"/>
    <w:rsid w:val="00913639"/>
    <w:rsid w:val="009157D5"/>
    <w:rsid w:val="00920DCF"/>
    <w:rsid w:val="0092241F"/>
    <w:rsid w:val="009336EC"/>
    <w:rsid w:val="00937E17"/>
    <w:rsid w:val="00937E63"/>
    <w:rsid w:val="009537C2"/>
    <w:rsid w:val="00953B4A"/>
    <w:rsid w:val="0095506F"/>
    <w:rsid w:val="00960C8C"/>
    <w:rsid w:val="00965CF4"/>
    <w:rsid w:val="00965E4C"/>
    <w:rsid w:val="00966BD0"/>
    <w:rsid w:val="0096764A"/>
    <w:rsid w:val="00967658"/>
    <w:rsid w:val="00967C05"/>
    <w:rsid w:val="009723A4"/>
    <w:rsid w:val="009726A6"/>
    <w:rsid w:val="00974101"/>
    <w:rsid w:val="00985F16"/>
    <w:rsid w:val="00990437"/>
    <w:rsid w:val="00994BC5"/>
    <w:rsid w:val="00997019"/>
    <w:rsid w:val="009971C8"/>
    <w:rsid w:val="00997F32"/>
    <w:rsid w:val="009A428D"/>
    <w:rsid w:val="009A5193"/>
    <w:rsid w:val="009A561F"/>
    <w:rsid w:val="009A7256"/>
    <w:rsid w:val="009B2AB6"/>
    <w:rsid w:val="009B2EAD"/>
    <w:rsid w:val="009B3303"/>
    <w:rsid w:val="009B4049"/>
    <w:rsid w:val="009B63D2"/>
    <w:rsid w:val="009B6DC0"/>
    <w:rsid w:val="009C01CA"/>
    <w:rsid w:val="009C0BA4"/>
    <w:rsid w:val="009C0BB9"/>
    <w:rsid w:val="009C283F"/>
    <w:rsid w:val="009C2BE3"/>
    <w:rsid w:val="009C5343"/>
    <w:rsid w:val="009C57A5"/>
    <w:rsid w:val="009C6872"/>
    <w:rsid w:val="009D1F76"/>
    <w:rsid w:val="009D5F00"/>
    <w:rsid w:val="009D6C96"/>
    <w:rsid w:val="009E41CD"/>
    <w:rsid w:val="009E7118"/>
    <w:rsid w:val="009F4BBE"/>
    <w:rsid w:val="00A0184A"/>
    <w:rsid w:val="00A02A79"/>
    <w:rsid w:val="00A035D8"/>
    <w:rsid w:val="00A07895"/>
    <w:rsid w:val="00A1052E"/>
    <w:rsid w:val="00A11F71"/>
    <w:rsid w:val="00A20C7A"/>
    <w:rsid w:val="00A21BE3"/>
    <w:rsid w:val="00A2621D"/>
    <w:rsid w:val="00A26D59"/>
    <w:rsid w:val="00A278A9"/>
    <w:rsid w:val="00A300A3"/>
    <w:rsid w:val="00A346F0"/>
    <w:rsid w:val="00A47853"/>
    <w:rsid w:val="00A54110"/>
    <w:rsid w:val="00A54BEA"/>
    <w:rsid w:val="00A5584A"/>
    <w:rsid w:val="00A577A3"/>
    <w:rsid w:val="00A57D1A"/>
    <w:rsid w:val="00A6006E"/>
    <w:rsid w:val="00A646AC"/>
    <w:rsid w:val="00A64B18"/>
    <w:rsid w:val="00A64D0B"/>
    <w:rsid w:val="00A64DC3"/>
    <w:rsid w:val="00A66A73"/>
    <w:rsid w:val="00A7225A"/>
    <w:rsid w:val="00A72C86"/>
    <w:rsid w:val="00A75194"/>
    <w:rsid w:val="00A76040"/>
    <w:rsid w:val="00A767E0"/>
    <w:rsid w:val="00A80682"/>
    <w:rsid w:val="00A93039"/>
    <w:rsid w:val="00A9416A"/>
    <w:rsid w:val="00A94341"/>
    <w:rsid w:val="00A94BC5"/>
    <w:rsid w:val="00A95F72"/>
    <w:rsid w:val="00A965B3"/>
    <w:rsid w:val="00AA0250"/>
    <w:rsid w:val="00AB18C1"/>
    <w:rsid w:val="00AB1B01"/>
    <w:rsid w:val="00AB76D8"/>
    <w:rsid w:val="00AC21A2"/>
    <w:rsid w:val="00AC28EE"/>
    <w:rsid w:val="00AD2DBE"/>
    <w:rsid w:val="00AE1DA2"/>
    <w:rsid w:val="00AE3235"/>
    <w:rsid w:val="00AE51DC"/>
    <w:rsid w:val="00AE6506"/>
    <w:rsid w:val="00AE7DA9"/>
    <w:rsid w:val="00B03132"/>
    <w:rsid w:val="00B04E6F"/>
    <w:rsid w:val="00B0691F"/>
    <w:rsid w:val="00B06E7F"/>
    <w:rsid w:val="00B120C7"/>
    <w:rsid w:val="00B12833"/>
    <w:rsid w:val="00B1429B"/>
    <w:rsid w:val="00B162BA"/>
    <w:rsid w:val="00B20427"/>
    <w:rsid w:val="00B22261"/>
    <w:rsid w:val="00B2263B"/>
    <w:rsid w:val="00B23E29"/>
    <w:rsid w:val="00B24559"/>
    <w:rsid w:val="00B25468"/>
    <w:rsid w:val="00B31225"/>
    <w:rsid w:val="00B35DC3"/>
    <w:rsid w:val="00B46591"/>
    <w:rsid w:val="00B46E24"/>
    <w:rsid w:val="00B471E3"/>
    <w:rsid w:val="00B516ED"/>
    <w:rsid w:val="00B53405"/>
    <w:rsid w:val="00B54979"/>
    <w:rsid w:val="00B55007"/>
    <w:rsid w:val="00B61F0A"/>
    <w:rsid w:val="00B62727"/>
    <w:rsid w:val="00B64731"/>
    <w:rsid w:val="00B67BC1"/>
    <w:rsid w:val="00B703E6"/>
    <w:rsid w:val="00B716A2"/>
    <w:rsid w:val="00B72C8F"/>
    <w:rsid w:val="00B734BA"/>
    <w:rsid w:val="00B77504"/>
    <w:rsid w:val="00B81852"/>
    <w:rsid w:val="00B81F29"/>
    <w:rsid w:val="00B87C67"/>
    <w:rsid w:val="00B90371"/>
    <w:rsid w:val="00B9239E"/>
    <w:rsid w:val="00B942FD"/>
    <w:rsid w:val="00B946B1"/>
    <w:rsid w:val="00B95451"/>
    <w:rsid w:val="00B968E6"/>
    <w:rsid w:val="00BA6440"/>
    <w:rsid w:val="00BA6C31"/>
    <w:rsid w:val="00BB0137"/>
    <w:rsid w:val="00BB1117"/>
    <w:rsid w:val="00BB16F0"/>
    <w:rsid w:val="00BB75FC"/>
    <w:rsid w:val="00BC1A13"/>
    <w:rsid w:val="00BC2804"/>
    <w:rsid w:val="00BC6D3E"/>
    <w:rsid w:val="00BD4027"/>
    <w:rsid w:val="00BD4593"/>
    <w:rsid w:val="00BE2C9B"/>
    <w:rsid w:val="00BE3050"/>
    <w:rsid w:val="00BE7710"/>
    <w:rsid w:val="00BF3D61"/>
    <w:rsid w:val="00BF6BED"/>
    <w:rsid w:val="00C0100E"/>
    <w:rsid w:val="00C029BF"/>
    <w:rsid w:val="00C02DF0"/>
    <w:rsid w:val="00C10527"/>
    <w:rsid w:val="00C14DC3"/>
    <w:rsid w:val="00C2265C"/>
    <w:rsid w:val="00C22E5D"/>
    <w:rsid w:val="00C23235"/>
    <w:rsid w:val="00C23ECA"/>
    <w:rsid w:val="00C271F1"/>
    <w:rsid w:val="00C33638"/>
    <w:rsid w:val="00C471F1"/>
    <w:rsid w:val="00C4773F"/>
    <w:rsid w:val="00C518A2"/>
    <w:rsid w:val="00C51CE4"/>
    <w:rsid w:val="00C54B58"/>
    <w:rsid w:val="00C56C8A"/>
    <w:rsid w:val="00C61F98"/>
    <w:rsid w:val="00C64060"/>
    <w:rsid w:val="00C72C8C"/>
    <w:rsid w:val="00C77982"/>
    <w:rsid w:val="00C77FDD"/>
    <w:rsid w:val="00C843F8"/>
    <w:rsid w:val="00C92EC2"/>
    <w:rsid w:val="00C94CA3"/>
    <w:rsid w:val="00CA41CF"/>
    <w:rsid w:val="00CA4265"/>
    <w:rsid w:val="00CB2295"/>
    <w:rsid w:val="00CB2899"/>
    <w:rsid w:val="00CC004B"/>
    <w:rsid w:val="00CC0078"/>
    <w:rsid w:val="00CC19F9"/>
    <w:rsid w:val="00CC2561"/>
    <w:rsid w:val="00CC33BD"/>
    <w:rsid w:val="00CC4092"/>
    <w:rsid w:val="00CC683F"/>
    <w:rsid w:val="00CD2DF8"/>
    <w:rsid w:val="00CD3422"/>
    <w:rsid w:val="00CD7E92"/>
    <w:rsid w:val="00CF04BC"/>
    <w:rsid w:val="00CF1694"/>
    <w:rsid w:val="00CF1B6C"/>
    <w:rsid w:val="00CF1C03"/>
    <w:rsid w:val="00CF300F"/>
    <w:rsid w:val="00CF3796"/>
    <w:rsid w:val="00CF42D6"/>
    <w:rsid w:val="00CF77E4"/>
    <w:rsid w:val="00D00766"/>
    <w:rsid w:val="00D01548"/>
    <w:rsid w:val="00D03162"/>
    <w:rsid w:val="00D065A7"/>
    <w:rsid w:val="00D10A2E"/>
    <w:rsid w:val="00D12AA8"/>
    <w:rsid w:val="00D14CC9"/>
    <w:rsid w:val="00D21BD6"/>
    <w:rsid w:val="00D262B8"/>
    <w:rsid w:val="00D27C3C"/>
    <w:rsid w:val="00D27FDA"/>
    <w:rsid w:val="00D31A50"/>
    <w:rsid w:val="00D33CEE"/>
    <w:rsid w:val="00D346B6"/>
    <w:rsid w:val="00D37FDA"/>
    <w:rsid w:val="00D40997"/>
    <w:rsid w:val="00D40DD2"/>
    <w:rsid w:val="00D41B94"/>
    <w:rsid w:val="00D421B0"/>
    <w:rsid w:val="00D43893"/>
    <w:rsid w:val="00D445FC"/>
    <w:rsid w:val="00D52010"/>
    <w:rsid w:val="00D546F6"/>
    <w:rsid w:val="00D5553D"/>
    <w:rsid w:val="00D55B5C"/>
    <w:rsid w:val="00D57A04"/>
    <w:rsid w:val="00D614B0"/>
    <w:rsid w:val="00D624B1"/>
    <w:rsid w:val="00D642DD"/>
    <w:rsid w:val="00D67DED"/>
    <w:rsid w:val="00D71D3E"/>
    <w:rsid w:val="00D821FA"/>
    <w:rsid w:val="00D86AB7"/>
    <w:rsid w:val="00D95092"/>
    <w:rsid w:val="00D9647E"/>
    <w:rsid w:val="00D96BB0"/>
    <w:rsid w:val="00DA1D83"/>
    <w:rsid w:val="00DA57A3"/>
    <w:rsid w:val="00DA659A"/>
    <w:rsid w:val="00DB3322"/>
    <w:rsid w:val="00DC0947"/>
    <w:rsid w:val="00DC1ED5"/>
    <w:rsid w:val="00DC4653"/>
    <w:rsid w:val="00DC61EE"/>
    <w:rsid w:val="00DC6DD4"/>
    <w:rsid w:val="00DD0996"/>
    <w:rsid w:val="00DD3B17"/>
    <w:rsid w:val="00DD59B8"/>
    <w:rsid w:val="00DE0F80"/>
    <w:rsid w:val="00DE40F0"/>
    <w:rsid w:val="00DE6ADB"/>
    <w:rsid w:val="00DE7729"/>
    <w:rsid w:val="00DF44BE"/>
    <w:rsid w:val="00E0557C"/>
    <w:rsid w:val="00E06B3E"/>
    <w:rsid w:val="00E100BF"/>
    <w:rsid w:val="00E1065E"/>
    <w:rsid w:val="00E1352C"/>
    <w:rsid w:val="00E15450"/>
    <w:rsid w:val="00E160CE"/>
    <w:rsid w:val="00E219BA"/>
    <w:rsid w:val="00E2295B"/>
    <w:rsid w:val="00E22C59"/>
    <w:rsid w:val="00E2502B"/>
    <w:rsid w:val="00E2766C"/>
    <w:rsid w:val="00E27F19"/>
    <w:rsid w:val="00E34DB2"/>
    <w:rsid w:val="00E3790A"/>
    <w:rsid w:val="00E41AE9"/>
    <w:rsid w:val="00E41E23"/>
    <w:rsid w:val="00E41F05"/>
    <w:rsid w:val="00E43BA5"/>
    <w:rsid w:val="00E45CCD"/>
    <w:rsid w:val="00E45FD5"/>
    <w:rsid w:val="00E47583"/>
    <w:rsid w:val="00E52253"/>
    <w:rsid w:val="00E52779"/>
    <w:rsid w:val="00E54043"/>
    <w:rsid w:val="00E5509A"/>
    <w:rsid w:val="00E558C1"/>
    <w:rsid w:val="00E56775"/>
    <w:rsid w:val="00E574CA"/>
    <w:rsid w:val="00E604F5"/>
    <w:rsid w:val="00E809FC"/>
    <w:rsid w:val="00E91257"/>
    <w:rsid w:val="00E97756"/>
    <w:rsid w:val="00E9788E"/>
    <w:rsid w:val="00EA251E"/>
    <w:rsid w:val="00EA42F6"/>
    <w:rsid w:val="00EA448C"/>
    <w:rsid w:val="00EB05AB"/>
    <w:rsid w:val="00EB07C0"/>
    <w:rsid w:val="00EC017C"/>
    <w:rsid w:val="00EC0512"/>
    <w:rsid w:val="00EC1450"/>
    <w:rsid w:val="00EC2715"/>
    <w:rsid w:val="00EC3C14"/>
    <w:rsid w:val="00EC57E9"/>
    <w:rsid w:val="00ED228B"/>
    <w:rsid w:val="00ED29A2"/>
    <w:rsid w:val="00EE1B82"/>
    <w:rsid w:val="00EE1BCA"/>
    <w:rsid w:val="00EE2DB4"/>
    <w:rsid w:val="00EE4A2D"/>
    <w:rsid w:val="00F023D9"/>
    <w:rsid w:val="00F04512"/>
    <w:rsid w:val="00F11543"/>
    <w:rsid w:val="00F1465A"/>
    <w:rsid w:val="00F16420"/>
    <w:rsid w:val="00F17B7B"/>
    <w:rsid w:val="00F21306"/>
    <w:rsid w:val="00F30F1B"/>
    <w:rsid w:val="00F32B2C"/>
    <w:rsid w:val="00F32DBC"/>
    <w:rsid w:val="00F35EF7"/>
    <w:rsid w:val="00F413A5"/>
    <w:rsid w:val="00F47155"/>
    <w:rsid w:val="00F52658"/>
    <w:rsid w:val="00F5394D"/>
    <w:rsid w:val="00F53CC0"/>
    <w:rsid w:val="00F558CA"/>
    <w:rsid w:val="00F56E46"/>
    <w:rsid w:val="00F66670"/>
    <w:rsid w:val="00F672A4"/>
    <w:rsid w:val="00F67664"/>
    <w:rsid w:val="00F70499"/>
    <w:rsid w:val="00F711B8"/>
    <w:rsid w:val="00F723B2"/>
    <w:rsid w:val="00F74A5D"/>
    <w:rsid w:val="00F84CDD"/>
    <w:rsid w:val="00F8582B"/>
    <w:rsid w:val="00F905B9"/>
    <w:rsid w:val="00F938C0"/>
    <w:rsid w:val="00FA54FB"/>
    <w:rsid w:val="00FA5BA8"/>
    <w:rsid w:val="00FB263E"/>
    <w:rsid w:val="00FB527E"/>
    <w:rsid w:val="00FB55C3"/>
    <w:rsid w:val="00FC18FD"/>
    <w:rsid w:val="00FC4F2A"/>
    <w:rsid w:val="00FC7334"/>
    <w:rsid w:val="00FD2A2F"/>
    <w:rsid w:val="00FD4509"/>
    <w:rsid w:val="00FD6BBD"/>
    <w:rsid w:val="00FD767C"/>
    <w:rsid w:val="00FE02E7"/>
    <w:rsid w:val="00FE47E7"/>
    <w:rsid w:val="00FF0AD7"/>
    <w:rsid w:val="00FF1AE2"/>
    <w:rsid w:val="00FF1F7C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47D221D-A8DC-43EF-A251-ADC04BD1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F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0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6C23-8B56-4BBF-81AE-789C54951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AFBAE-3B62-4909-9F4A-6115243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Suzanne Elliott</cp:lastModifiedBy>
  <cp:revision>2</cp:revision>
  <cp:lastPrinted>2017-01-27T22:29:00Z</cp:lastPrinted>
  <dcterms:created xsi:type="dcterms:W3CDTF">2021-05-06T18:02:00Z</dcterms:created>
  <dcterms:modified xsi:type="dcterms:W3CDTF">2021-05-06T18:02:00Z</dcterms:modified>
</cp:coreProperties>
</file>