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60387" w14:textId="4BF99DB0" w:rsidR="00E51733" w:rsidRPr="005159CB" w:rsidRDefault="00E51733" w:rsidP="00E51733">
      <w:pPr>
        <w:jc w:val="center"/>
        <w:rPr>
          <w:rFonts w:ascii="Verdana" w:hAnsi="Verdana"/>
        </w:rPr>
      </w:pPr>
      <w:bookmarkStart w:id="0" w:name="_GoBack"/>
      <w:bookmarkEnd w:id="0"/>
    </w:p>
    <w:p w14:paraId="42234EB1" w14:textId="5F8EA967" w:rsidR="00365F46" w:rsidRPr="005159CB" w:rsidRDefault="00365F46" w:rsidP="00E51733">
      <w:pPr>
        <w:jc w:val="center"/>
        <w:rPr>
          <w:rFonts w:ascii="Verdana" w:hAnsi="Verdana"/>
        </w:rPr>
      </w:pPr>
    </w:p>
    <w:p w14:paraId="7F05AABB" w14:textId="1773D1BB" w:rsidR="00365F46" w:rsidRPr="005159CB" w:rsidRDefault="00365F46" w:rsidP="00E51733">
      <w:pPr>
        <w:jc w:val="center"/>
        <w:rPr>
          <w:rFonts w:ascii="Verdana" w:hAnsi="Verdana"/>
        </w:rPr>
      </w:pPr>
    </w:p>
    <w:p w14:paraId="5141A7E8" w14:textId="5ED3593A" w:rsidR="00365F46" w:rsidRPr="005159CB" w:rsidRDefault="00365F46" w:rsidP="00E51733">
      <w:pPr>
        <w:jc w:val="center"/>
        <w:rPr>
          <w:rFonts w:ascii="Verdana" w:hAnsi="Verdana"/>
        </w:rPr>
      </w:pPr>
    </w:p>
    <w:p w14:paraId="6D130020" w14:textId="0CF8C7B6" w:rsidR="00365F46" w:rsidRPr="005159CB" w:rsidRDefault="00365F46" w:rsidP="00E51733">
      <w:pPr>
        <w:jc w:val="center"/>
        <w:rPr>
          <w:rFonts w:ascii="Verdana" w:hAnsi="Verdana"/>
        </w:rPr>
      </w:pPr>
    </w:p>
    <w:p w14:paraId="3F123CCD" w14:textId="643F9DC1" w:rsidR="00365F46" w:rsidRPr="005159CB" w:rsidRDefault="00365F46" w:rsidP="00365F46">
      <w:pPr>
        <w:rPr>
          <w:rFonts w:ascii="Verdana" w:hAnsi="Verdana"/>
        </w:rPr>
      </w:pPr>
    </w:p>
    <w:p w14:paraId="0CFB5F27" w14:textId="1208749A" w:rsidR="00743AA2" w:rsidRPr="00743AA2" w:rsidRDefault="00743AA2" w:rsidP="00743AA2">
      <w:pPr>
        <w:rPr>
          <w:rFonts w:ascii="Verdana" w:hAnsi="Verdana"/>
          <w:highlight w:val="yellow"/>
        </w:rPr>
      </w:pPr>
      <w:r w:rsidRPr="00743AA2">
        <w:rPr>
          <w:rFonts w:ascii="Verdana" w:hAnsi="Verdana"/>
        </w:rPr>
        <w:t xml:space="preserve">AUDIT RISK ALERT # </w:t>
      </w:r>
      <w:r w:rsidR="00446329" w:rsidRPr="00CF1F90">
        <w:rPr>
          <w:rFonts w:ascii="Verdana" w:hAnsi="Verdana"/>
        </w:rPr>
        <w:t>5</w:t>
      </w:r>
      <w:r w:rsidR="00107CD8">
        <w:rPr>
          <w:rFonts w:ascii="Verdana" w:hAnsi="Verdana"/>
        </w:rPr>
        <w:t>3</w:t>
      </w:r>
    </w:p>
    <w:p w14:paraId="227E00DC" w14:textId="77777777" w:rsidR="00743AA2" w:rsidRPr="00743AA2" w:rsidRDefault="00743AA2" w:rsidP="00743AA2">
      <w:pPr>
        <w:rPr>
          <w:rFonts w:ascii="Verdana" w:hAnsi="Verdana"/>
          <w:highlight w:val="yellow"/>
        </w:rPr>
      </w:pPr>
    </w:p>
    <w:p w14:paraId="56F3B968" w14:textId="53BEA0B8" w:rsidR="00743AA2" w:rsidRPr="00B82024" w:rsidRDefault="00743AA2" w:rsidP="00743AA2">
      <w:pPr>
        <w:rPr>
          <w:rFonts w:ascii="Verdana" w:hAnsi="Verdana"/>
        </w:rPr>
      </w:pPr>
      <w:r w:rsidRPr="00743AA2">
        <w:rPr>
          <w:rFonts w:ascii="Verdana" w:hAnsi="Verdana"/>
        </w:rPr>
        <w:t xml:space="preserve">DATE: </w:t>
      </w:r>
      <w:r w:rsidR="00107CD8" w:rsidRPr="00B82024">
        <w:rPr>
          <w:rFonts w:ascii="Verdana" w:hAnsi="Verdana"/>
        </w:rPr>
        <w:t xml:space="preserve">July </w:t>
      </w:r>
      <w:r w:rsidR="00B82024" w:rsidRPr="00B82024">
        <w:rPr>
          <w:rFonts w:ascii="Verdana" w:hAnsi="Verdana"/>
        </w:rPr>
        <w:t>27</w:t>
      </w:r>
      <w:r w:rsidR="00107CD8" w:rsidRPr="00B82024">
        <w:rPr>
          <w:rFonts w:ascii="Verdana" w:hAnsi="Verdana"/>
        </w:rPr>
        <w:t>, 2023</w:t>
      </w:r>
    </w:p>
    <w:p w14:paraId="5F1CC18B" w14:textId="77777777" w:rsidR="00743AA2" w:rsidRPr="00743AA2" w:rsidRDefault="00743AA2" w:rsidP="00743AA2">
      <w:pPr>
        <w:rPr>
          <w:rFonts w:ascii="Verdana" w:hAnsi="Verdana"/>
          <w:highlight w:val="yellow"/>
        </w:rPr>
      </w:pPr>
    </w:p>
    <w:p w14:paraId="2396DB5A" w14:textId="2AAA643F" w:rsidR="00743AA2" w:rsidRDefault="00743AA2" w:rsidP="00743AA2">
      <w:pPr>
        <w:rPr>
          <w:rFonts w:ascii="Verdana" w:hAnsi="Verdana"/>
        </w:rPr>
      </w:pPr>
      <w:r w:rsidRPr="00743AA2">
        <w:rPr>
          <w:rFonts w:ascii="Verdana" w:hAnsi="Verdana"/>
          <w:b/>
        </w:rPr>
        <w:t>SUBJECT:</w:t>
      </w:r>
      <w:r w:rsidRPr="00743AA2">
        <w:rPr>
          <w:rFonts w:ascii="Verdana" w:hAnsi="Verdana"/>
        </w:rPr>
        <w:t xml:space="preserve"> </w:t>
      </w:r>
      <w:r w:rsidR="00C85963">
        <w:rPr>
          <w:rFonts w:ascii="Verdana" w:hAnsi="Verdana"/>
        </w:rPr>
        <w:t>Calculation</w:t>
      </w:r>
      <w:r w:rsidR="00710242">
        <w:rPr>
          <w:rFonts w:ascii="Verdana" w:hAnsi="Verdana"/>
        </w:rPr>
        <w:t xml:space="preserve"> </w:t>
      </w:r>
      <w:r w:rsidR="00C34060">
        <w:rPr>
          <w:rFonts w:ascii="Verdana" w:hAnsi="Verdana"/>
        </w:rPr>
        <w:t xml:space="preserve">of </w:t>
      </w:r>
      <w:r w:rsidR="00165156">
        <w:rPr>
          <w:rFonts w:ascii="Verdana" w:hAnsi="Verdana"/>
        </w:rPr>
        <w:t xml:space="preserve">“Revenues and Other Sources” for Determining the Type of Report </w:t>
      </w:r>
      <w:r w:rsidR="006D55B4">
        <w:rPr>
          <w:rFonts w:ascii="Verdana" w:hAnsi="Verdana"/>
        </w:rPr>
        <w:t>Local Auditees are Required to</w:t>
      </w:r>
      <w:r w:rsidR="00165156">
        <w:rPr>
          <w:rFonts w:ascii="Verdana" w:hAnsi="Verdana"/>
        </w:rPr>
        <w:t xml:space="preserve"> </w:t>
      </w:r>
      <w:r w:rsidR="00C85963">
        <w:rPr>
          <w:rFonts w:ascii="Verdana" w:hAnsi="Verdana"/>
        </w:rPr>
        <w:t>Provide</w:t>
      </w:r>
      <w:r w:rsidR="00165156">
        <w:rPr>
          <w:rFonts w:ascii="Verdana" w:hAnsi="Verdana"/>
        </w:rPr>
        <w:t xml:space="preserve"> to the LLA </w:t>
      </w:r>
    </w:p>
    <w:p w14:paraId="7837578A" w14:textId="7E264848" w:rsidR="00710242" w:rsidRDefault="00710242" w:rsidP="00743AA2">
      <w:pPr>
        <w:rPr>
          <w:rFonts w:ascii="Verdana" w:hAnsi="Verdana"/>
        </w:rPr>
      </w:pPr>
    </w:p>
    <w:p w14:paraId="1DAFFBCD" w14:textId="6A17A4E1" w:rsidR="00710242" w:rsidRPr="00710242" w:rsidRDefault="00710242" w:rsidP="00743AA2">
      <w:pPr>
        <w:rPr>
          <w:rFonts w:ascii="Verdana" w:hAnsi="Verdana"/>
          <w:b/>
          <w:u w:val="single"/>
        </w:rPr>
      </w:pPr>
      <w:r w:rsidRPr="00710242">
        <w:rPr>
          <w:rFonts w:ascii="Verdana" w:hAnsi="Verdana"/>
          <w:b/>
          <w:u w:val="single"/>
        </w:rPr>
        <w:t>Summary</w:t>
      </w:r>
    </w:p>
    <w:p w14:paraId="281D3AB5" w14:textId="04620BF9" w:rsidR="00710242" w:rsidRDefault="00710242" w:rsidP="00743AA2">
      <w:pPr>
        <w:rPr>
          <w:rFonts w:ascii="Verdana" w:hAnsi="Verdana"/>
        </w:rPr>
      </w:pPr>
    </w:p>
    <w:p w14:paraId="4071F73F" w14:textId="0A872E05" w:rsidR="00710242" w:rsidRPr="002A6509" w:rsidRDefault="00710242" w:rsidP="00743AA2">
      <w:pPr>
        <w:rPr>
          <w:rFonts w:ascii="Verdana" w:hAnsi="Verdana"/>
        </w:rPr>
      </w:pPr>
      <w:r>
        <w:rPr>
          <w:rFonts w:ascii="Verdana" w:hAnsi="Verdana"/>
        </w:rPr>
        <w:t>For purposes of determining which type of report local auditees are required to provide to the Louisiana Legislative Auditor (LLA)</w:t>
      </w:r>
      <w:r w:rsidR="00724628">
        <w:rPr>
          <w:rFonts w:ascii="Verdana" w:hAnsi="Verdana"/>
        </w:rPr>
        <w:t xml:space="preserve"> in compliance with </w:t>
      </w:r>
      <w:hyperlink r:id="rId6" w:history="1">
        <w:r w:rsidR="00724628" w:rsidRPr="003B19D9">
          <w:rPr>
            <w:rStyle w:val="Hyperlink"/>
            <w:rFonts w:ascii="Verdana" w:hAnsi="Verdana"/>
          </w:rPr>
          <w:t>R.S. 24:513(J)(1)(c)</w:t>
        </w:r>
      </w:hyperlink>
      <w:r>
        <w:rPr>
          <w:rFonts w:ascii="Verdana" w:hAnsi="Verdana"/>
        </w:rPr>
        <w:t xml:space="preserve">, “revenues and other sources” should be calculated </w:t>
      </w:r>
      <w:r w:rsidR="00C85963">
        <w:rPr>
          <w:rFonts w:ascii="Verdana" w:hAnsi="Verdana"/>
        </w:rPr>
        <w:t xml:space="preserve">using the </w:t>
      </w:r>
      <w:r w:rsidR="00C85963" w:rsidRPr="002A6509">
        <w:rPr>
          <w:rFonts w:ascii="Verdana" w:hAnsi="Verdana"/>
        </w:rPr>
        <w:t>economic resources measurement focus and</w:t>
      </w:r>
      <w:r w:rsidRPr="002A6509">
        <w:rPr>
          <w:rFonts w:ascii="Verdana" w:hAnsi="Verdana"/>
        </w:rPr>
        <w:t xml:space="preserve"> accrual basis of</w:t>
      </w:r>
      <w:r w:rsidR="002C2F77" w:rsidRPr="002A6509">
        <w:rPr>
          <w:rFonts w:ascii="Verdana" w:hAnsi="Verdana"/>
        </w:rPr>
        <w:t xml:space="preserve"> accounting </w:t>
      </w:r>
      <w:r w:rsidR="00565B8C" w:rsidRPr="002A6509">
        <w:rPr>
          <w:rFonts w:ascii="Verdana" w:hAnsi="Verdana"/>
        </w:rPr>
        <w:t>for all fund types.</w:t>
      </w:r>
    </w:p>
    <w:p w14:paraId="1A414AB8" w14:textId="55DC4158" w:rsidR="00710242" w:rsidRDefault="00710242" w:rsidP="00743AA2">
      <w:pPr>
        <w:rPr>
          <w:rFonts w:ascii="Verdana" w:hAnsi="Verdana"/>
        </w:rPr>
      </w:pPr>
    </w:p>
    <w:p w14:paraId="7DC3B843" w14:textId="17296BAC" w:rsidR="00710242" w:rsidRPr="0036044D" w:rsidRDefault="00710242" w:rsidP="00743AA2">
      <w:pPr>
        <w:rPr>
          <w:rFonts w:ascii="Verdana" w:hAnsi="Verdana"/>
          <w:b/>
          <w:u w:val="single"/>
        </w:rPr>
      </w:pPr>
      <w:r w:rsidRPr="0036044D">
        <w:rPr>
          <w:rFonts w:ascii="Verdana" w:hAnsi="Verdana"/>
          <w:b/>
          <w:u w:val="single"/>
        </w:rPr>
        <w:t>Report Type</w:t>
      </w:r>
    </w:p>
    <w:p w14:paraId="7A84F2DC" w14:textId="64E1E000" w:rsidR="00710242" w:rsidRDefault="00710242" w:rsidP="00743AA2">
      <w:pPr>
        <w:rPr>
          <w:rFonts w:ascii="Verdana" w:hAnsi="Verdana"/>
        </w:rPr>
      </w:pPr>
    </w:p>
    <w:p w14:paraId="485B5902" w14:textId="7CF363E5" w:rsidR="003A613B" w:rsidRDefault="003A613B" w:rsidP="00743AA2">
      <w:pPr>
        <w:rPr>
          <w:rFonts w:ascii="Verdana" w:hAnsi="Verdana"/>
        </w:rPr>
      </w:pPr>
      <w:r>
        <w:rPr>
          <w:rFonts w:ascii="Verdana" w:hAnsi="Verdana"/>
        </w:rPr>
        <w:t>The following chart shows the type of report which local auditees are required to provide to the LLA</w:t>
      </w:r>
      <w:r w:rsidR="0036044D">
        <w:rPr>
          <w:rFonts w:ascii="Verdana" w:hAnsi="Verdana"/>
        </w:rPr>
        <w:t>.</w:t>
      </w:r>
    </w:p>
    <w:p w14:paraId="257E8A07" w14:textId="7280E1D2" w:rsidR="003A613B" w:rsidRDefault="003A613B" w:rsidP="00743AA2">
      <w:pPr>
        <w:rPr>
          <w:rFonts w:ascii="Verdana" w:hAnsi="Verdana"/>
        </w:rPr>
      </w:pPr>
    </w:p>
    <w:p w14:paraId="55643950" w14:textId="353796BE" w:rsidR="0036044D" w:rsidRDefault="0036044D" w:rsidP="00743AA2">
      <w:pPr>
        <w:rPr>
          <w:rFonts w:ascii="Verdana" w:hAnsi="Verdana"/>
        </w:rPr>
      </w:pPr>
      <w:r w:rsidRPr="0036044D">
        <w:rPr>
          <w:noProof/>
        </w:rPr>
        <w:drawing>
          <wp:inline distT="0" distB="0" distL="0" distR="0" wp14:anchorId="37D7FAD1" wp14:editId="23688CEF">
            <wp:extent cx="5943600" cy="226240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37CEE" w14:textId="77777777" w:rsidR="003A613B" w:rsidRDefault="003A613B" w:rsidP="00743AA2">
      <w:pPr>
        <w:rPr>
          <w:rFonts w:ascii="Verdana" w:hAnsi="Verdana"/>
        </w:rPr>
      </w:pPr>
    </w:p>
    <w:p w14:paraId="7C183B0A" w14:textId="489DEE50" w:rsidR="003A613B" w:rsidRDefault="003A613B" w:rsidP="00743AA2">
      <w:pPr>
        <w:rPr>
          <w:rFonts w:ascii="Verdana" w:hAnsi="Verdana"/>
        </w:rPr>
      </w:pPr>
    </w:p>
    <w:p w14:paraId="6DCC48B4" w14:textId="77777777" w:rsidR="003A613B" w:rsidRDefault="003A613B" w:rsidP="00743AA2">
      <w:pPr>
        <w:rPr>
          <w:rFonts w:ascii="Verdana" w:hAnsi="Verdana"/>
        </w:rPr>
      </w:pPr>
    </w:p>
    <w:p w14:paraId="6A67EC6B" w14:textId="31A65F4D" w:rsidR="00724628" w:rsidRPr="004E60CA" w:rsidRDefault="00724628" w:rsidP="00743AA2">
      <w:pPr>
        <w:rPr>
          <w:rFonts w:ascii="Verdana" w:hAnsi="Verdana"/>
          <w:b/>
          <w:u w:val="single"/>
        </w:rPr>
      </w:pPr>
      <w:r w:rsidRPr="004E60CA">
        <w:rPr>
          <w:rFonts w:ascii="Verdana" w:hAnsi="Verdana"/>
          <w:b/>
          <w:u w:val="single"/>
        </w:rPr>
        <w:lastRenderedPageBreak/>
        <w:t>Audit Law Requirement</w:t>
      </w:r>
    </w:p>
    <w:p w14:paraId="328FCF2B" w14:textId="7CB515B0" w:rsidR="00710242" w:rsidRDefault="00724628" w:rsidP="00743AA2">
      <w:pPr>
        <w:rPr>
          <w:rFonts w:ascii="Verdana" w:hAnsi="Verdana"/>
        </w:rPr>
      </w:pPr>
      <w:r>
        <w:rPr>
          <w:rFonts w:ascii="Verdana" w:hAnsi="Verdana"/>
        </w:rPr>
        <w:t>R.S. 24:513(J)(1)(c) states, in part</w:t>
      </w:r>
    </w:p>
    <w:p w14:paraId="4A0DFF0B" w14:textId="15FE1773" w:rsidR="00724628" w:rsidRDefault="00724628" w:rsidP="00743AA2">
      <w:pPr>
        <w:rPr>
          <w:rFonts w:ascii="Verdana" w:hAnsi="Verdana"/>
        </w:rPr>
      </w:pPr>
    </w:p>
    <w:p w14:paraId="4FD65112" w14:textId="6D6A46CA" w:rsidR="00724628" w:rsidRDefault="00724628" w:rsidP="00724628">
      <w:pPr>
        <w:ind w:left="720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Any local auditee that receives seventy-five thousand dollars or less </w:t>
      </w:r>
      <w:r w:rsidRPr="004E60CA">
        <w:rPr>
          <w:rFonts w:ascii="Verdana" w:hAnsi="Verdana"/>
          <w:b/>
          <w:i/>
        </w:rPr>
        <w:t>in revenues and other sources</w:t>
      </w:r>
      <w:r w:rsidR="004E60CA">
        <w:rPr>
          <w:rFonts w:ascii="Verdana" w:hAnsi="Verdana"/>
          <w:i/>
        </w:rPr>
        <w:t xml:space="preserve"> </w:t>
      </w:r>
      <w:r w:rsidR="004E60CA" w:rsidRPr="004E60CA">
        <w:rPr>
          <w:rFonts w:ascii="Verdana" w:hAnsi="Verdana"/>
        </w:rPr>
        <w:t>(emphasis added)</w:t>
      </w:r>
      <w:r>
        <w:rPr>
          <w:rFonts w:ascii="Verdana" w:hAnsi="Verdana"/>
          <w:i/>
        </w:rPr>
        <w:t xml:space="preserve"> in any one fiscal year . . . shall annually </w:t>
      </w:r>
      <w:r w:rsidR="002A6509">
        <w:rPr>
          <w:rFonts w:ascii="Verdana" w:hAnsi="Verdana"/>
          <w:i/>
        </w:rPr>
        <w:t xml:space="preserve">file </w:t>
      </w:r>
      <w:r>
        <w:rPr>
          <w:rFonts w:ascii="Verdana" w:hAnsi="Verdana"/>
          <w:i/>
        </w:rPr>
        <w:t xml:space="preserve">with the legislative auditor sworn financial statements </w:t>
      </w:r>
      <w:proofErr w:type="gramStart"/>
      <w:r>
        <w:rPr>
          <w:rFonts w:ascii="Verdana" w:hAnsi="Verdana"/>
          <w:i/>
        </w:rPr>
        <w:t>. .</w:t>
      </w:r>
      <w:r w:rsidR="004E60CA">
        <w:rPr>
          <w:rFonts w:ascii="Verdana" w:hAnsi="Verdana"/>
          <w:i/>
        </w:rPr>
        <w:t xml:space="preserve"> . </w:t>
      </w:r>
      <w:r>
        <w:rPr>
          <w:rFonts w:ascii="Verdana" w:hAnsi="Verdana"/>
          <w:i/>
        </w:rPr>
        <w:t>.</w:t>
      </w:r>
      <w:proofErr w:type="gramEnd"/>
    </w:p>
    <w:p w14:paraId="76F33B00" w14:textId="6C2B5D24" w:rsidR="00724628" w:rsidRDefault="00724628" w:rsidP="00724628">
      <w:pPr>
        <w:ind w:left="720"/>
        <w:rPr>
          <w:rFonts w:ascii="Verdana" w:hAnsi="Verdana"/>
          <w:i/>
        </w:rPr>
      </w:pPr>
    </w:p>
    <w:p w14:paraId="56A12EE1" w14:textId="73890AC5" w:rsidR="00724628" w:rsidRDefault="00724628" w:rsidP="00724628">
      <w:pPr>
        <w:ind w:left="720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Any local auditee that receives more than seventy-five thousand dollars </w:t>
      </w:r>
      <w:r w:rsidR="004E60CA" w:rsidRPr="004E60CA">
        <w:rPr>
          <w:rFonts w:ascii="Verdana" w:hAnsi="Verdana"/>
          <w:b/>
          <w:i/>
        </w:rPr>
        <w:t>in revenues and other sources</w:t>
      </w:r>
      <w:r w:rsidR="004E60CA">
        <w:rPr>
          <w:rFonts w:ascii="Verdana" w:hAnsi="Verdana"/>
          <w:i/>
        </w:rPr>
        <w:t xml:space="preserve"> </w:t>
      </w:r>
      <w:r w:rsidR="004E60CA" w:rsidRPr="004E60CA">
        <w:rPr>
          <w:rFonts w:ascii="Verdana" w:hAnsi="Verdana"/>
        </w:rPr>
        <w:t>(emphasis added)</w:t>
      </w:r>
      <w:r w:rsidR="004E60CA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>in any one fiscal year, but less than two hundred thousand dollars, shall cause to be conducted an annual compilation of its financial statements, with or without note</w:t>
      </w:r>
      <w:r w:rsidR="004E60CA">
        <w:rPr>
          <w:rFonts w:ascii="Verdana" w:hAnsi="Verdana"/>
          <w:i/>
        </w:rPr>
        <w:t>s</w:t>
      </w:r>
      <w:r>
        <w:rPr>
          <w:rFonts w:ascii="Verdana" w:hAnsi="Verdana"/>
          <w:i/>
        </w:rPr>
        <w:t>.</w:t>
      </w:r>
    </w:p>
    <w:p w14:paraId="20653EE9" w14:textId="672B367A" w:rsidR="00724628" w:rsidRDefault="00724628" w:rsidP="00724628">
      <w:pPr>
        <w:ind w:left="720"/>
        <w:rPr>
          <w:rFonts w:ascii="Verdana" w:hAnsi="Verdana"/>
          <w:i/>
        </w:rPr>
      </w:pPr>
    </w:p>
    <w:p w14:paraId="7FD5CB3F" w14:textId="1E2552A1" w:rsidR="00724628" w:rsidRDefault="00724628" w:rsidP="00724628">
      <w:pPr>
        <w:ind w:left="720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Any local auditee that receives two hundred thousand dollars or more </w:t>
      </w:r>
      <w:r w:rsidR="004E60CA" w:rsidRPr="004E60CA">
        <w:rPr>
          <w:rFonts w:ascii="Verdana" w:hAnsi="Verdana"/>
          <w:b/>
          <w:i/>
        </w:rPr>
        <w:t>in revenues and other sources</w:t>
      </w:r>
      <w:r w:rsidR="004E60CA">
        <w:rPr>
          <w:rFonts w:ascii="Verdana" w:hAnsi="Verdana"/>
          <w:i/>
        </w:rPr>
        <w:t xml:space="preserve"> </w:t>
      </w:r>
      <w:r w:rsidR="004E60CA" w:rsidRPr="004E60CA">
        <w:rPr>
          <w:rFonts w:ascii="Verdana" w:hAnsi="Verdana"/>
        </w:rPr>
        <w:t>(emphasis added</w:t>
      </w:r>
      <w:r w:rsidR="004E60CA">
        <w:rPr>
          <w:rFonts w:ascii="Verdana" w:hAnsi="Verdana"/>
        </w:rPr>
        <w:t>)</w:t>
      </w:r>
      <w:r>
        <w:rPr>
          <w:rFonts w:ascii="Verdana" w:hAnsi="Verdana"/>
          <w:i/>
        </w:rPr>
        <w:t xml:space="preserve"> in any one fiscal year, but less than five hundred thousand dollars, shall cause to be conducted an annual review of its financial statements to be accompanied by an attestation report </w:t>
      </w:r>
      <w:proofErr w:type="gramStart"/>
      <w:r>
        <w:rPr>
          <w:rFonts w:ascii="Verdana" w:hAnsi="Verdana"/>
          <w:i/>
        </w:rPr>
        <w:t>. . . .</w:t>
      </w:r>
      <w:proofErr w:type="gramEnd"/>
    </w:p>
    <w:p w14:paraId="7E333674" w14:textId="0DBCF628" w:rsidR="00724628" w:rsidRDefault="00724628" w:rsidP="00724628">
      <w:pPr>
        <w:ind w:left="720"/>
        <w:rPr>
          <w:rFonts w:ascii="Verdana" w:hAnsi="Verdana"/>
          <w:i/>
        </w:rPr>
      </w:pPr>
    </w:p>
    <w:p w14:paraId="253C134E" w14:textId="212AA0C8" w:rsidR="00724628" w:rsidRPr="00724628" w:rsidRDefault="00724628" w:rsidP="00724628">
      <w:pPr>
        <w:ind w:left="720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Any local auditee that receives five hundred thousand dollars or more </w:t>
      </w:r>
      <w:r w:rsidR="004E60CA" w:rsidRPr="004E60CA">
        <w:rPr>
          <w:rFonts w:ascii="Verdana" w:hAnsi="Verdana"/>
          <w:b/>
          <w:i/>
        </w:rPr>
        <w:t>in revenues and other sources</w:t>
      </w:r>
      <w:r w:rsidR="004E60CA">
        <w:rPr>
          <w:rFonts w:ascii="Verdana" w:hAnsi="Verdana"/>
          <w:i/>
        </w:rPr>
        <w:t xml:space="preserve"> </w:t>
      </w:r>
      <w:r w:rsidR="004E60CA" w:rsidRPr="004E60CA">
        <w:rPr>
          <w:rFonts w:ascii="Verdana" w:hAnsi="Verdana"/>
        </w:rPr>
        <w:t>(emphasis added)</w:t>
      </w:r>
      <w:r w:rsidR="004E60CA">
        <w:rPr>
          <w:rFonts w:ascii="Verdana" w:hAnsi="Verdana"/>
          <w:i/>
        </w:rPr>
        <w:t xml:space="preserve"> in any one fiscal year shall be audited annually.</w:t>
      </w:r>
    </w:p>
    <w:p w14:paraId="3810ACF2" w14:textId="77777777" w:rsidR="00724628" w:rsidRDefault="00724628" w:rsidP="00743AA2">
      <w:pPr>
        <w:rPr>
          <w:rFonts w:ascii="Verdana" w:hAnsi="Verdana"/>
        </w:rPr>
      </w:pPr>
    </w:p>
    <w:p w14:paraId="5D74EF92" w14:textId="1CE5DD0A" w:rsidR="00710242" w:rsidRPr="008F32FC" w:rsidRDefault="0036044D" w:rsidP="00743AA2">
      <w:pPr>
        <w:rPr>
          <w:rFonts w:ascii="Verdana" w:hAnsi="Verdana"/>
          <w:b/>
          <w:u w:val="single"/>
        </w:rPr>
      </w:pPr>
      <w:r w:rsidRPr="008F32FC">
        <w:rPr>
          <w:rFonts w:ascii="Verdana" w:hAnsi="Verdana"/>
          <w:b/>
          <w:u w:val="single"/>
        </w:rPr>
        <w:t>Definition of “Revenues and Other Sources”</w:t>
      </w:r>
    </w:p>
    <w:p w14:paraId="395D8F71" w14:textId="0619C894" w:rsidR="0036044D" w:rsidRDefault="0036044D" w:rsidP="00743AA2">
      <w:pPr>
        <w:rPr>
          <w:rFonts w:ascii="Verdana" w:hAnsi="Verdana"/>
        </w:rPr>
      </w:pPr>
    </w:p>
    <w:p w14:paraId="08F456C5" w14:textId="2625930D" w:rsidR="00C85963" w:rsidRDefault="00D81DBF" w:rsidP="00C85963">
      <w:pPr>
        <w:rPr>
          <w:rFonts w:ascii="Verdana" w:hAnsi="Verdana"/>
          <w:b/>
        </w:rPr>
      </w:pPr>
      <w:r>
        <w:rPr>
          <w:rFonts w:ascii="Verdana" w:hAnsi="Verdana"/>
        </w:rPr>
        <w:t xml:space="preserve">Generally accepted accounting principles (GAAP) prescribes the use of the economic </w:t>
      </w:r>
      <w:proofErr w:type="gramStart"/>
      <w:r>
        <w:rPr>
          <w:rFonts w:ascii="Verdana" w:hAnsi="Verdana"/>
        </w:rPr>
        <w:t>resources</w:t>
      </w:r>
      <w:proofErr w:type="gramEnd"/>
      <w:r>
        <w:rPr>
          <w:rFonts w:ascii="Verdana" w:hAnsi="Verdana"/>
        </w:rPr>
        <w:t xml:space="preserve"> measurement focus for </w:t>
      </w:r>
      <w:r w:rsidR="006D55B4">
        <w:rPr>
          <w:rFonts w:ascii="Verdana" w:hAnsi="Verdana"/>
        </w:rPr>
        <w:t xml:space="preserve">governmental fund types reported </w:t>
      </w:r>
      <w:r w:rsidR="00565B8C">
        <w:rPr>
          <w:rFonts w:ascii="Verdana" w:hAnsi="Verdana"/>
        </w:rPr>
        <w:t>i</w:t>
      </w:r>
      <w:r w:rsidR="006D55B4">
        <w:rPr>
          <w:rFonts w:ascii="Verdana" w:hAnsi="Verdana"/>
        </w:rPr>
        <w:t xml:space="preserve">n the </w:t>
      </w:r>
      <w:r>
        <w:rPr>
          <w:rFonts w:ascii="Verdana" w:hAnsi="Verdana"/>
        </w:rPr>
        <w:t xml:space="preserve">government-wide </w:t>
      </w:r>
      <w:r w:rsidR="00565B8C">
        <w:rPr>
          <w:rFonts w:ascii="Verdana" w:hAnsi="Verdana"/>
        </w:rPr>
        <w:t>Statement of Activities</w:t>
      </w:r>
      <w:r>
        <w:rPr>
          <w:rFonts w:ascii="Verdana" w:hAnsi="Verdana"/>
        </w:rPr>
        <w:t xml:space="preserve">, </w:t>
      </w:r>
      <w:r w:rsidR="006D55B4">
        <w:rPr>
          <w:rFonts w:ascii="Verdana" w:hAnsi="Verdana"/>
        </w:rPr>
        <w:t>and for proprietary and fiduciary fund types</w:t>
      </w:r>
      <w:r w:rsidR="00CC33F7">
        <w:rPr>
          <w:rStyle w:val="FootnoteReference"/>
          <w:rFonts w:ascii="Verdana" w:hAnsi="Verdana"/>
        </w:rPr>
        <w:footnoteReference w:id="1"/>
      </w:r>
      <w:r w:rsidR="006D55B4">
        <w:rPr>
          <w:rFonts w:ascii="Verdana" w:hAnsi="Verdana"/>
        </w:rPr>
        <w:t>.</w:t>
      </w:r>
      <w:r w:rsidR="00C85963">
        <w:rPr>
          <w:rFonts w:ascii="Verdana" w:hAnsi="Verdana"/>
        </w:rPr>
        <w:t xml:space="preserve"> </w:t>
      </w:r>
      <w:r w:rsidR="00C85963" w:rsidRPr="00C85963">
        <w:rPr>
          <w:rFonts w:ascii="Verdana" w:hAnsi="Verdana"/>
          <w:b/>
        </w:rPr>
        <w:t xml:space="preserve">For purposes of determining which type of report local auditees are required to provide to the LLA, “revenues and other sources” should be calculated using the economic resources measurement </w:t>
      </w:r>
      <w:r w:rsidR="006D55B4">
        <w:rPr>
          <w:rFonts w:ascii="Verdana" w:hAnsi="Verdana"/>
          <w:b/>
        </w:rPr>
        <w:t xml:space="preserve">focus and accrual basis of accounting </w:t>
      </w:r>
      <w:r w:rsidR="00565B8C">
        <w:rPr>
          <w:rFonts w:ascii="Verdana" w:hAnsi="Verdana"/>
          <w:b/>
        </w:rPr>
        <w:t>for</w:t>
      </w:r>
      <w:r w:rsidR="006D55B4">
        <w:rPr>
          <w:rFonts w:ascii="Verdana" w:hAnsi="Verdana"/>
          <w:b/>
        </w:rPr>
        <w:t xml:space="preserve"> all fund types.</w:t>
      </w:r>
      <w:r w:rsidR="00C85963" w:rsidRPr="00C85963">
        <w:rPr>
          <w:rFonts w:ascii="Verdana" w:hAnsi="Verdana"/>
          <w:b/>
        </w:rPr>
        <w:t xml:space="preserve"> </w:t>
      </w:r>
    </w:p>
    <w:p w14:paraId="171D41A0" w14:textId="586B5A7C" w:rsidR="006D55B4" w:rsidRDefault="006D55B4" w:rsidP="00C85963">
      <w:pPr>
        <w:rPr>
          <w:rFonts w:ascii="Verdana" w:hAnsi="Verdana"/>
        </w:rPr>
      </w:pPr>
    </w:p>
    <w:p w14:paraId="2EB94731" w14:textId="77777777" w:rsidR="004E60CA" w:rsidRDefault="004E60CA" w:rsidP="00C85963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97B2C34" w14:textId="5828C277" w:rsidR="006D55B4" w:rsidRDefault="006D55B4" w:rsidP="00C85963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This amount can be calculated by totaling the following </w:t>
      </w:r>
      <w:r w:rsidR="00831039">
        <w:rPr>
          <w:rFonts w:ascii="Verdana" w:hAnsi="Verdana"/>
        </w:rPr>
        <w:t xml:space="preserve">amounts reported </w:t>
      </w:r>
      <w:r w:rsidR="00565B8C">
        <w:rPr>
          <w:rFonts w:ascii="Verdana" w:hAnsi="Verdana"/>
        </w:rPr>
        <w:t>i</w:t>
      </w:r>
      <w:r w:rsidR="00831039">
        <w:rPr>
          <w:rFonts w:ascii="Verdana" w:hAnsi="Verdana"/>
        </w:rPr>
        <w:t>n</w:t>
      </w:r>
      <w:r w:rsidR="00565B8C">
        <w:rPr>
          <w:rFonts w:ascii="Verdana" w:hAnsi="Verdana"/>
        </w:rPr>
        <w:t xml:space="preserve"> the</w:t>
      </w:r>
      <w:r w:rsidR="00831039">
        <w:rPr>
          <w:rFonts w:ascii="Verdana" w:hAnsi="Verdana"/>
        </w:rPr>
        <w:t xml:space="preserve"> </w:t>
      </w:r>
      <w:r>
        <w:rPr>
          <w:rFonts w:ascii="Verdana" w:hAnsi="Verdana"/>
        </w:rPr>
        <w:t>financial statements:</w:t>
      </w:r>
    </w:p>
    <w:p w14:paraId="7FBA1BF6" w14:textId="21CF9FAF" w:rsidR="00831039" w:rsidRDefault="00831039" w:rsidP="00C85963">
      <w:pPr>
        <w:rPr>
          <w:rFonts w:ascii="Verdana" w:hAnsi="Verdana"/>
        </w:rPr>
      </w:pPr>
    </w:p>
    <w:p w14:paraId="5D38F687" w14:textId="2BE33821" w:rsidR="00C85963" w:rsidRDefault="00E774AD" w:rsidP="00E774AD">
      <w:pPr>
        <w:jc w:val="center"/>
        <w:rPr>
          <w:rFonts w:ascii="Verdana" w:hAnsi="Verdana"/>
        </w:rPr>
      </w:pPr>
      <w:r w:rsidRPr="00E774AD">
        <w:rPr>
          <w:noProof/>
        </w:rPr>
        <w:drawing>
          <wp:inline distT="0" distB="0" distL="0" distR="0" wp14:anchorId="01DAE632" wp14:editId="192497E0">
            <wp:extent cx="5704840" cy="25247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0859E" w14:textId="77777777" w:rsidR="00E774AD" w:rsidRDefault="00E774AD" w:rsidP="00743AA2">
      <w:pPr>
        <w:rPr>
          <w:rFonts w:ascii="Verdana" w:hAnsi="Verdana"/>
        </w:rPr>
      </w:pPr>
    </w:p>
    <w:p w14:paraId="2969CDA6" w14:textId="46ED15F7" w:rsidR="00B70E41" w:rsidRDefault="00743AA2" w:rsidP="00743AA2">
      <w:pPr>
        <w:rPr>
          <w:rFonts w:ascii="Verdana" w:hAnsi="Verdana"/>
        </w:rPr>
      </w:pPr>
      <w:r w:rsidRPr="00743AA2">
        <w:rPr>
          <w:rFonts w:ascii="Verdana" w:hAnsi="Verdana"/>
        </w:rPr>
        <w:t xml:space="preserve">If you have any questions, please contact </w:t>
      </w:r>
      <w:r w:rsidR="00710242">
        <w:rPr>
          <w:rFonts w:ascii="Verdana" w:hAnsi="Verdana"/>
        </w:rPr>
        <w:t>Diane Allison</w:t>
      </w:r>
      <w:r w:rsidRPr="00743AA2">
        <w:rPr>
          <w:rFonts w:ascii="Verdana" w:hAnsi="Verdana"/>
        </w:rPr>
        <w:t xml:space="preserve"> at</w:t>
      </w:r>
      <w:r w:rsidR="00710242">
        <w:rPr>
          <w:rFonts w:ascii="Verdana" w:hAnsi="Verdana"/>
        </w:rPr>
        <w:t xml:space="preserve"> </w:t>
      </w:r>
      <w:hyperlink r:id="rId9" w:history="1">
        <w:r w:rsidR="00710242" w:rsidRPr="003E722F">
          <w:rPr>
            <w:rStyle w:val="Hyperlink"/>
            <w:rFonts w:ascii="Verdana" w:hAnsi="Verdana"/>
          </w:rPr>
          <w:t>dallison@lla.la.gov</w:t>
        </w:r>
      </w:hyperlink>
      <w:r w:rsidR="00710242">
        <w:rPr>
          <w:rFonts w:ascii="Verdana" w:hAnsi="Verdana"/>
        </w:rPr>
        <w:t xml:space="preserve"> or</w:t>
      </w:r>
      <w:r w:rsidRPr="00743AA2">
        <w:rPr>
          <w:rFonts w:ascii="Verdana" w:hAnsi="Verdana"/>
        </w:rPr>
        <w:t xml:space="preserve"> (225) 339-38</w:t>
      </w:r>
      <w:r w:rsidR="00710242">
        <w:rPr>
          <w:rFonts w:ascii="Verdana" w:hAnsi="Verdana"/>
        </w:rPr>
        <w:t>12</w:t>
      </w:r>
      <w:r w:rsidRPr="00743AA2">
        <w:rPr>
          <w:rFonts w:ascii="Verdana" w:hAnsi="Verdana"/>
        </w:rPr>
        <w:t>.</w:t>
      </w:r>
    </w:p>
    <w:p w14:paraId="45C1430F" w14:textId="24C24021" w:rsidR="004E60CA" w:rsidRDefault="004E60CA" w:rsidP="00743AA2">
      <w:pPr>
        <w:rPr>
          <w:rFonts w:ascii="Verdana" w:hAnsi="Verdana"/>
        </w:rPr>
      </w:pPr>
    </w:p>
    <w:p w14:paraId="4B22F8A5" w14:textId="77777777" w:rsidR="002A6509" w:rsidRDefault="002A6509" w:rsidP="00743AA2">
      <w:pPr>
        <w:rPr>
          <w:rFonts w:ascii="Verdana" w:hAnsi="Verdana"/>
        </w:rPr>
      </w:pPr>
    </w:p>
    <w:p w14:paraId="55115086" w14:textId="08D746BC" w:rsidR="001C7BED" w:rsidRDefault="001C7BED" w:rsidP="00743AA2">
      <w:pPr>
        <w:rPr>
          <w:rFonts w:ascii="Verdana" w:hAnsi="Verdana"/>
          <w:b/>
        </w:rPr>
      </w:pPr>
      <w:r w:rsidRPr="000A650E">
        <w:rPr>
          <w:rFonts w:ascii="Verdana" w:hAnsi="Verdana"/>
          <w:b/>
        </w:rPr>
        <w:t>Question</w:t>
      </w:r>
    </w:p>
    <w:p w14:paraId="6B0AF400" w14:textId="77777777" w:rsidR="007E5A6D" w:rsidRDefault="007E5A6D" w:rsidP="00743AA2">
      <w:pPr>
        <w:rPr>
          <w:rFonts w:ascii="Verdana" w:hAnsi="Verdana"/>
          <w:b/>
        </w:rPr>
      </w:pPr>
    </w:p>
    <w:p w14:paraId="755B8BFD" w14:textId="79BCA507" w:rsidR="001C7BED" w:rsidRDefault="001C7BED" w:rsidP="00743AA2">
      <w:pPr>
        <w:rPr>
          <w:rFonts w:ascii="Verdana" w:hAnsi="Verdana"/>
        </w:rPr>
      </w:pPr>
      <w:r>
        <w:rPr>
          <w:rFonts w:ascii="Verdana" w:hAnsi="Verdana"/>
          <w:b/>
        </w:rPr>
        <w:t>Q</w:t>
      </w:r>
      <w:r w:rsidR="000A2080">
        <w:rPr>
          <w:rFonts w:ascii="Verdana" w:hAnsi="Verdana"/>
          <w:b/>
        </w:rPr>
        <w:t>.</w:t>
      </w:r>
      <w:r>
        <w:rPr>
          <w:rFonts w:ascii="Verdana" w:hAnsi="Verdana"/>
          <w:b/>
        </w:rPr>
        <w:t xml:space="preserve"> </w:t>
      </w:r>
      <w:r w:rsidR="008F32FC">
        <w:rPr>
          <w:rFonts w:ascii="Verdana" w:hAnsi="Verdana"/>
        </w:rPr>
        <w:t xml:space="preserve">To determine which type of report my </w:t>
      </w:r>
      <w:r w:rsidR="002A6509">
        <w:rPr>
          <w:rFonts w:ascii="Verdana" w:hAnsi="Verdana"/>
        </w:rPr>
        <w:t>local government</w:t>
      </w:r>
      <w:r w:rsidR="008F32FC">
        <w:rPr>
          <w:rFonts w:ascii="Verdana" w:hAnsi="Verdana"/>
        </w:rPr>
        <w:t xml:space="preserve"> is required to provide to the LLA, should I add up the revenues and other sources in all my funds to determine my total revenues</w:t>
      </w:r>
      <w:r w:rsidR="007E5A6D">
        <w:rPr>
          <w:rFonts w:ascii="Verdana" w:hAnsi="Verdana"/>
        </w:rPr>
        <w:t xml:space="preserve"> and other sources</w:t>
      </w:r>
      <w:r w:rsidR="008F32FC">
        <w:rPr>
          <w:rFonts w:ascii="Verdana" w:hAnsi="Verdana"/>
        </w:rPr>
        <w:t>?</w:t>
      </w:r>
      <w:r>
        <w:rPr>
          <w:rFonts w:ascii="Verdana" w:hAnsi="Verdana"/>
        </w:rPr>
        <w:t xml:space="preserve"> </w:t>
      </w:r>
    </w:p>
    <w:p w14:paraId="09DC8403" w14:textId="77777777" w:rsidR="007E5A6D" w:rsidRDefault="007E5A6D" w:rsidP="00743AA2">
      <w:pPr>
        <w:rPr>
          <w:rFonts w:ascii="Verdana" w:hAnsi="Verdana"/>
        </w:rPr>
      </w:pPr>
    </w:p>
    <w:p w14:paraId="084802FE" w14:textId="1C79FF5B" w:rsidR="001C7BED" w:rsidRDefault="001C7BED" w:rsidP="00743AA2">
      <w:pPr>
        <w:rPr>
          <w:rFonts w:ascii="Verdana" w:hAnsi="Verdana"/>
        </w:rPr>
      </w:pPr>
      <w:r w:rsidRPr="000A650E">
        <w:rPr>
          <w:rFonts w:ascii="Verdana" w:hAnsi="Verdana"/>
          <w:b/>
        </w:rPr>
        <w:t>A</w:t>
      </w:r>
      <w:r w:rsidR="000A2080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8F32FC">
        <w:rPr>
          <w:rFonts w:ascii="Verdana" w:hAnsi="Verdana"/>
        </w:rPr>
        <w:t xml:space="preserve">No, since </w:t>
      </w:r>
      <w:r w:rsidR="00565B8C">
        <w:rPr>
          <w:rFonts w:ascii="Verdana" w:hAnsi="Verdana"/>
        </w:rPr>
        <w:t xml:space="preserve">amounts reported in </w:t>
      </w:r>
      <w:r w:rsidR="008F32FC">
        <w:rPr>
          <w:rFonts w:ascii="Verdana" w:hAnsi="Verdana"/>
        </w:rPr>
        <w:t>governmental funds</w:t>
      </w:r>
      <w:r w:rsidR="007E5A6D">
        <w:rPr>
          <w:rFonts w:ascii="Verdana" w:hAnsi="Verdana"/>
        </w:rPr>
        <w:t xml:space="preserve"> </w:t>
      </w:r>
      <w:r w:rsidR="00565B8C">
        <w:rPr>
          <w:rFonts w:ascii="Verdana" w:hAnsi="Verdana"/>
        </w:rPr>
        <w:t>in the Statement of Revenues, Expenditures, and Changes in Fund Balance</w:t>
      </w:r>
      <w:r w:rsidR="00B82024">
        <w:rPr>
          <w:rFonts w:ascii="Verdana" w:hAnsi="Verdana"/>
        </w:rPr>
        <w:t>s</w:t>
      </w:r>
      <w:r w:rsidR="00565B8C">
        <w:rPr>
          <w:rFonts w:ascii="Verdana" w:hAnsi="Verdana"/>
        </w:rPr>
        <w:t xml:space="preserve"> are not reported using the economic resources measurement focus and accrual basis of accounting. </w:t>
      </w:r>
      <w:r w:rsidR="008F32FC">
        <w:rPr>
          <w:rFonts w:ascii="Verdana" w:hAnsi="Verdana"/>
        </w:rPr>
        <w:t xml:space="preserve">Instead you should add </w:t>
      </w:r>
      <w:r w:rsidR="00565B8C">
        <w:rPr>
          <w:rFonts w:ascii="Verdana" w:hAnsi="Verdana"/>
        </w:rPr>
        <w:t xml:space="preserve">(a) </w:t>
      </w:r>
      <w:r w:rsidR="008F32FC">
        <w:rPr>
          <w:rFonts w:ascii="Verdana" w:hAnsi="Verdana"/>
        </w:rPr>
        <w:t xml:space="preserve">total program revenues and general revenues reported on your Statement of Activities </w:t>
      </w:r>
      <w:r w:rsidR="00273BF6">
        <w:rPr>
          <w:rFonts w:ascii="Verdana" w:hAnsi="Verdana"/>
        </w:rPr>
        <w:t>for the primary government, which will include both governmental and bu</w:t>
      </w:r>
      <w:r w:rsidR="00E774AD">
        <w:rPr>
          <w:rFonts w:ascii="Verdana" w:hAnsi="Verdana"/>
        </w:rPr>
        <w:t xml:space="preserve">siness-type activities, </w:t>
      </w:r>
      <w:r w:rsidR="00565B8C">
        <w:rPr>
          <w:rFonts w:ascii="Verdana" w:hAnsi="Verdana"/>
        </w:rPr>
        <w:t>and (b) total additions reported in the Statement of Changes in Fiduciary Net Position to</w:t>
      </w:r>
      <w:r w:rsidR="008F32FC">
        <w:rPr>
          <w:rFonts w:ascii="Verdana" w:hAnsi="Verdana"/>
        </w:rPr>
        <w:t xml:space="preserve"> determine which type of report your </w:t>
      </w:r>
      <w:r w:rsidR="002A6509">
        <w:rPr>
          <w:rFonts w:ascii="Verdana" w:hAnsi="Verdana"/>
        </w:rPr>
        <w:t>local government</w:t>
      </w:r>
      <w:r w:rsidR="008F32FC">
        <w:rPr>
          <w:rFonts w:ascii="Verdana" w:hAnsi="Verdana"/>
        </w:rPr>
        <w:t xml:space="preserve"> is required to provide to the LLA.</w:t>
      </w:r>
      <w:r>
        <w:rPr>
          <w:rFonts w:ascii="Verdana" w:hAnsi="Verdana"/>
        </w:rPr>
        <w:t xml:space="preserve">    </w:t>
      </w:r>
    </w:p>
    <w:p w14:paraId="432B63FD" w14:textId="1C6AA4F9" w:rsidR="004E60CA" w:rsidRDefault="004E60CA" w:rsidP="00743AA2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93837F7" w14:textId="4CA9DC41" w:rsidR="00565B8C" w:rsidRDefault="00565B8C" w:rsidP="00743AA2">
      <w:pPr>
        <w:rPr>
          <w:rFonts w:ascii="Verdana" w:hAnsi="Verdana"/>
        </w:rPr>
      </w:pPr>
      <w:r w:rsidRPr="00D17A15">
        <w:rPr>
          <w:rFonts w:ascii="Verdana" w:hAnsi="Verdana"/>
          <w:b/>
        </w:rPr>
        <w:lastRenderedPageBreak/>
        <w:t>Q.</w:t>
      </w:r>
      <w:r>
        <w:rPr>
          <w:rFonts w:ascii="Verdana" w:hAnsi="Verdana"/>
        </w:rPr>
        <w:t xml:space="preserve"> </w:t>
      </w:r>
      <w:hyperlink r:id="rId10" w:history="1">
        <w:r w:rsidR="00D17A15" w:rsidRPr="00964FC6">
          <w:rPr>
            <w:rStyle w:val="Hyperlink"/>
            <w:rFonts w:ascii="Verdana" w:hAnsi="Verdana"/>
          </w:rPr>
          <w:t>GASB 87</w:t>
        </w:r>
      </w:hyperlink>
      <w:r w:rsidR="00D17A15">
        <w:rPr>
          <w:rFonts w:ascii="Verdana" w:hAnsi="Verdana"/>
        </w:rPr>
        <w:t xml:space="preserve">, </w:t>
      </w:r>
      <w:r w:rsidR="00D17A15" w:rsidRPr="00D17A15">
        <w:rPr>
          <w:rFonts w:ascii="Verdana" w:hAnsi="Verdana"/>
          <w:i/>
        </w:rPr>
        <w:t>Leases</w:t>
      </w:r>
      <w:r w:rsidR="00D17A15">
        <w:rPr>
          <w:rFonts w:ascii="Verdana" w:hAnsi="Verdana"/>
        </w:rPr>
        <w:t>, require</w:t>
      </w:r>
      <w:r w:rsidR="002A6509">
        <w:rPr>
          <w:rFonts w:ascii="Verdana" w:hAnsi="Verdana"/>
        </w:rPr>
        <w:t>s</w:t>
      </w:r>
      <w:r w:rsidR="00D17A15">
        <w:rPr>
          <w:rFonts w:ascii="Verdana" w:hAnsi="Verdana"/>
        </w:rPr>
        <w:t xml:space="preserve"> state and local governments to record the present value of </w:t>
      </w:r>
      <w:r w:rsidR="00B82024">
        <w:rPr>
          <w:rFonts w:ascii="Verdana" w:hAnsi="Verdana"/>
        </w:rPr>
        <w:t>future</w:t>
      </w:r>
      <w:r w:rsidR="00D17A15">
        <w:rPr>
          <w:rFonts w:ascii="Verdana" w:hAnsi="Verdana"/>
        </w:rPr>
        <w:t xml:space="preserve"> lease </w:t>
      </w:r>
      <w:r w:rsidR="00B82024">
        <w:rPr>
          <w:rFonts w:ascii="Verdana" w:hAnsi="Verdana"/>
        </w:rPr>
        <w:t>payments</w:t>
      </w:r>
      <w:r w:rsidR="00D17A15">
        <w:rPr>
          <w:rFonts w:ascii="Verdana" w:hAnsi="Verdana"/>
        </w:rPr>
        <w:t xml:space="preserve"> as </w:t>
      </w:r>
      <w:proofErr w:type="spellStart"/>
      <w:r w:rsidR="00D17A15">
        <w:rPr>
          <w:rFonts w:ascii="Verdana" w:hAnsi="Verdana"/>
        </w:rPr>
        <w:t>an other</w:t>
      </w:r>
      <w:proofErr w:type="spellEnd"/>
      <w:r w:rsidR="00D17A15">
        <w:rPr>
          <w:rFonts w:ascii="Verdana" w:hAnsi="Verdana"/>
        </w:rPr>
        <w:t xml:space="preserve"> financing source in the first year of a lease in the Statement of Revenues, Expenditures and Changes in Fund Balance</w:t>
      </w:r>
      <w:r w:rsidR="00B82024">
        <w:rPr>
          <w:rFonts w:ascii="Verdana" w:hAnsi="Verdana"/>
        </w:rPr>
        <w:t>s</w:t>
      </w:r>
      <w:r w:rsidR="00D17A15">
        <w:rPr>
          <w:rFonts w:ascii="Verdana" w:hAnsi="Verdana"/>
        </w:rPr>
        <w:t xml:space="preserve"> for governmental fund types. Is this “other financing source” used in the calculation of “revenues and other sources” to determine which type o</w:t>
      </w:r>
      <w:r w:rsidR="002A6509">
        <w:rPr>
          <w:rFonts w:ascii="Verdana" w:hAnsi="Verdana"/>
        </w:rPr>
        <w:t>f</w:t>
      </w:r>
      <w:r w:rsidR="00D17A15">
        <w:rPr>
          <w:rFonts w:ascii="Verdana" w:hAnsi="Verdana"/>
        </w:rPr>
        <w:t xml:space="preserve"> report should be provided to the LLA?</w:t>
      </w:r>
    </w:p>
    <w:p w14:paraId="4B8EF9C2" w14:textId="471059E6" w:rsidR="00D17A15" w:rsidRDefault="00D17A15" w:rsidP="00743AA2">
      <w:pPr>
        <w:rPr>
          <w:rFonts w:ascii="Verdana" w:hAnsi="Verdana"/>
        </w:rPr>
      </w:pPr>
    </w:p>
    <w:p w14:paraId="59559EE6" w14:textId="6733B317" w:rsidR="00D17A15" w:rsidRDefault="00D17A15" w:rsidP="00743AA2">
      <w:pPr>
        <w:rPr>
          <w:rFonts w:ascii="Verdana" w:hAnsi="Verdana"/>
        </w:rPr>
      </w:pPr>
      <w:r w:rsidRPr="00D17A15">
        <w:rPr>
          <w:rFonts w:ascii="Verdana" w:hAnsi="Verdana"/>
          <w:b/>
        </w:rPr>
        <w:t>A</w:t>
      </w:r>
      <w:r>
        <w:rPr>
          <w:rFonts w:ascii="Verdana" w:hAnsi="Verdana"/>
        </w:rPr>
        <w:t xml:space="preserve">. No. Under the economic </w:t>
      </w:r>
      <w:proofErr w:type="gramStart"/>
      <w:r>
        <w:rPr>
          <w:rFonts w:ascii="Verdana" w:hAnsi="Verdana"/>
        </w:rPr>
        <w:t>resources</w:t>
      </w:r>
      <w:proofErr w:type="gramEnd"/>
      <w:r>
        <w:rPr>
          <w:rFonts w:ascii="Verdana" w:hAnsi="Verdana"/>
        </w:rPr>
        <w:t xml:space="preserve"> measurement focus and accrual basis of accounting</w:t>
      </w:r>
      <w:r w:rsidR="00E774AD">
        <w:rPr>
          <w:rFonts w:ascii="Verdana" w:hAnsi="Verdana"/>
        </w:rPr>
        <w:t xml:space="preserve"> for governmental activities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an other</w:t>
      </w:r>
      <w:proofErr w:type="spellEnd"/>
      <w:r>
        <w:rPr>
          <w:rFonts w:ascii="Verdana" w:hAnsi="Verdana"/>
        </w:rPr>
        <w:t xml:space="preserve"> financing source </w:t>
      </w:r>
      <w:r w:rsidR="002A6509">
        <w:rPr>
          <w:rFonts w:ascii="Verdana" w:hAnsi="Verdana"/>
        </w:rPr>
        <w:t xml:space="preserve">for the </w:t>
      </w:r>
      <w:r w:rsidR="00B82024">
        <w:rPr>
          <w:rFonts w:ascii="Verdana" w:hAnsi="Verdana"/>
        </w:rPr>
        <w:t>present value of future lease payments</w:t>
      </w:r>
      <w:r w:rsidR="002A650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is not recognized, and thus is not recorded in the Statement of Activities. Instead, </w:t>
      </w:r>
      <w:r w:rsidR="002A6509">
        <w:rPr>
          <w:rFonts w:ascii="Verdana" w:hAnsi="Verdana"/>
        </w:rPr>
        <w:t xml:space="preserve">the lease liability and an intangible asset are reported in </w:t>
      </w:r>
      <w:r w:rsidR="009713AF">
        <w:rPr>
          <w:rFonts w:ascii="Verdana" w:hAnsi="Verdana"/>
        </w:rPr>
        <w:t>the Statement of Net Position.</w:t>
      </w:r>
      <w:r>
        <w:rPr>
          <w:rFonts w:ascii="Verdana" w:hAnsi="Verdana"/>
        </w:rPr>
        <w:t xml:space="preserve"> </w:t>
      </w:r>
    </w:p>
    <w:p w14:paraId="1262993B" w14:textId="6B9D3782" w:rsidR="00E774AD" w:rsidRDefault="00E774AD" w:rsidP="00743AA2">
      <w:pPr>
        <w:rPr>
          <w:rFonts w:ascii="Verdana" w:hAnsi="Verdana"/>
        </w:rPr>
      </w:pPr>
    </w:p>
    <w:p w14:paraId="6B7599B9" w14:textId="34AB141E" w:rsidR="00E774AD" w:rsidRDefault="00E774AD" w:rsidP="00E774AD">
      <w:pPr>
        <w:rPr>
          <w:rFonts w:ascii="Verdana" w:hAnsi="Verdana"/>
        </w:rPr>
      </w:pPr>
      <w:r w:rsidRPr="00E774AD">
        <w:rPr>
          <w:rFonts w:ascii="Verdana" w:hAnsi="Verdana"/>
          <w:b/>
        </w:rPr>
        <w:t>Q.</w:t>
      </w:r>
      <w:r>
        <w:rPr>
          <w:rFonts w:ascii="Verdana" w:hAnsi="Verdana"/>
        </w:rPr>
        <w:t xml:space="preserve"> </w:t>
      </w:r>
      <w:hyperlink r:id="rId11" w:history="1">
        <w:r w:rsidRPr="00964FC6">
          <w:rPr>
            <w:rStyle w:val="Hyperlink"/>
            <w:rFonts w:ascii="Verdana" w:hAnsi="Verdana"/>
          </w:rPr>
          <w:t>GASB 96</w:t>
        </w:r>
      </w:hyperlink>
      <w:r>
        <w:rPr>
          <w:rFonts w:ascii="Verdana" w:hAnsi="Verdana"/>
        </w:rPr>
        <w:t xml:space="preserve">, </w:t>
      </w:r>
      <w:r>
        <w:rPr>
          <w:rFonts w:ascii="Verdana" w:hAnsi="Verdana"/>
          <w:i/>
        </w:rPr>
        <w:t xml:space="preserve">Subscription-Based Information Technology Arrangements, </w:t>
      </w:r>
      <w:r>
        <w:rPr>
          <w:rFonts w:ascii="Verdana" w:hAnsi="Verdana"/>
        </w:rPr>
        <w:t xml:space="preserve">requires state and local governments to record the present value of </w:t>
      </w:r>
      <w:r w:rsidR="00B82024">
        <w:rPr>
          <w:rFonts w:ascii="Verdana" w:hAnsi="Verdana"/>
        </w:rPr>
        <w:t>future subscription payments</w:t>
      </w:r>
      <w:r>
        <w:rPr>
          <w:rFonts w:ascii="Verdana" w:hAnsi="Verdana"/>
        </w:rPr>
        <w:t xml:space="preserve"> as an other financing source in the first year of </w:t>
      </w:r>
      <w:r w:rsidR="00B82024">
        <w:rPr>
          <w:rFonts w:ascii="Verdana" w:hAnsi="Verdana"/>
        </w:rPr>
        <w:t xml:space="preserve">a </w:t>
      </w:r>
      <w:r>
        <w:rPr>
          <w:rFonts w:ascii="Verdana" w:hAnsi="Verdana"/>
        </w:rPr>
        <w:t>subscription-based IT arrangement in the Statement of Revenues, Expenditures and Changes in Fund Balance</w:t>
      </w:r>
      <w:r w:rsidR="00B82024">
        <w:rPr>
          <w:rFonts w:ascii="Verdana" w:hAnsi="Verdana"/>
        </w:rPr>
        <w:t>s</w:t>
      </w:r>
      <w:r>
        <w:rPr>
          <w:rFonts w:ascii="Verdana" w:hAnsi="Verdana"/>
        </w:rPr>
        <w:t xml:space="preserve"> for governmental fund types. Is this “other financing source” used in the calculation of “revenues and other sources” to determine which type of report should be provided to the LLA?</w:t>
      </w:r>
    </w:p>
    <w:p w14:paraId="4826903C" w14:textId="0A782EFC" w:rsidR="00E774AD" w:rsidRDefault="00E774AD" w:rsidP="00E774AD">
      <w:pPr>
        <w:rPr>
          <w:rFonts w:ascii="Verdana" w:hAnsi="Verdana"/>
        </w:rPr>
      </w:pPr>
    </w:p>
    <w:p w14:paraId="1BD1B1F0" w14:textId="4CE627A2" w:rsidR="00E774AD" w:rsidRDefault="00E774AD" w:rsidP="00E774AD">
      <w:pPr>
        <w:rPr>
          <w:rFonts w:ascii="Verdana" w:hAnsi="Verdana"/>
        </w:rPr>
      </w:pPr>
      <w:r w:rsidRPr="00D17A15">
        <w:rPr>
          <w:rFonts w:ascii="Verdana" w:hAnsi="Verdana"/>
          <w:b/>
        </w:rPr>
        <w:t>A</w:t>
      </w:r>
      <w:r>
        <w:rPr>
          <w:rFonts w:ascii="Verdana" w:hAnsi="Verdana"/>
        </w:rPr>
        <w:t xml:space="preserve">. No. Under the economic </w:t>
      </w:r>
      <w:proofErr w:type="gramStart"/>
      <w:r>
        <w:rPr>
          <w:rFonts w:ascii="Verdana" w:hAnsi="Verdana"/>
        </w:rPr>
        <w:t>resources</w:t>
      </w:r>
      <w:proofErr w:type="gramEnd"/>
      <w:r>
        <w:rPr>
          <w:rFonts w:ascii="Verdana" w:hAnsi="Verdana"/>
        </w:rPr>
        <w:t xml:space="preserve"> measurement focus and accrual basis of accounting for governmental activities, </w:t>
      </w:r>
      <w:proofErr w:type="spellStart"/>
      <w:r>
        <w:rPr>
          <w:rFonts w:ascii="Verdana" w:hAnsi="Verdana"/>
        </w:rPr>
        <w:t>an other</w:t>
      </w:r>
      <w:proofErr w:type="spellEnd"/>
      <w:r>
        <w:rPr>
          <w:rFonts w:ascii="Verdana" w:hAnsi="Verdana"/>
        </w:rPr>
        <w:t xml:space="preserve"> financing source for the </w:t>
      </w:r>
      <w:r w:rsidR="00B82024">
        <w:rPr>
          <w:rFonts w:ascii="Verdana" w:hAnsi="Verdana"/>
        </w:rPr>
        <w:t>present value of future subscription payments</w:t>
      </w:r>
      <w:r>
        <w:rPr>
          <w:rFonts w:ascii="Verdana" w:hAnsi="Verdana"/>
        </w:rPr>
        <w:t xml:space="preserve"> is not recognized, and thus is not recorded in the Statement of Activities. Instead, the subscription liability and a subscription asset are reported in the Statement of Net Position. </w:t>
      </w:r>
    </w:p>
    <w:p w14:paraId="3FAF1D37" w14:textId="77777777" w:rsidR="00E774AD" w:rsidRDefault="00E774AD" w:rsidP="00E774AD">
      <w:pPr>
        <w:rPr>
          <w:rFonts w:ascii="Verdana" w:hAnsi="Verdana"/>
        </w:rPr>
      </w:pPr>
    </w:p>
    <w:p w14:paraId="09677695" w14:textId="3C5F04FE" w:rsidR="00E774AD" w:rsidRPr="00E774AD" w:rsidRDefault="00E774AD" w:rsidP="00743AA2">
      <w:pPr>
        <w:rPr>
          <w:rFonts w:ascii="Verdana" w:hAnsi="Verdana"/>
        </w:rPr>
      </w:pPr>
    </w:p>
    <w:sectPr w:rsidR="00E774AD" w:rsidRPr="00E774AD" w:rsidSect="00FC4ED8">
      <w:headerReference w:type="even" r:id="rId12"/>
      <w:headerReference w:type="default" r:id="rId13"/>
      <w:headerReference w:type="first" r:id="rId14"/>
      <w:footerReference w:type="first" r:id="rId15"/>
      <w:pgSz w:w="12240" w:h="15840"/>
      <w:pgMar w:top="1872" w:right="1440" w:bottom="1728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197DF" w14:textId="77777777" w:rsidR="008017AC" w:rsidRDefault="008017AC" w:rsidP="00B462F6">
      <w:r>
        <w:separator/>
      </w:r>
    </w:p>
  </w:endnote>
  <w:endnote w:type="continuationSeparator" w:id="0">
    <w:p w14:paraId="4D2AE116" w14:textId="77777777" w:rsidR="008017AC" w:rsidRDefault="008017AC" w:rsidP="00B4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altName w:val="Avenir Next LT Pro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73153" w14:textId="164D1961" w:rsidR="008B6EB4" w:rsidRPr="00456EB4" w:rsidRDefault="00456EB4" w:rsidP="008B6EB4">
    <w:pPr>
      <w:pStyle w:val="Footer"/>
      <w:ind w:right="360"/>
      <w:jc w:val="center"/>
      <w:rPr>
        <w:rFonts w:ascii="Gotham Medium" w:hAnsi="Gotham Medium"/>
        <w:color w:val="064158"/>
        <w:sz w:val="13"/>
        <w:szCs w:val="13"/>
      </w:rPr>
    </w:pPr>
    <w:r w:rsidRPr="00B462F6">
      <w:rPr>
        <w:rFonts w:ascii="Gotham Medium" w:hAnsi="Gotham Medium"/>
        <w:color w:val="064158"/>
        <w:sz w:val="13"/>
        <w:szCs w:val="13"/>
      </w:rPr>
      <w:t>1600 NORTH 3RD STREET P.O. BOX 94397 BATON ROUGE, LA 70804-9397</w:t>
    </w:r>
    <w:r w:rsidR="008B6EB4">
      <w:rPr>
        <w:rFonts w:ascii="Gotham Medium" w:hAnsi="Gotham Medium"/>
        <w:color w:val="064158"/>
        <w:sz w:val="13"/>
        <w:szCs w:val="13"/>
      </w:rPr>
      <w:br/>
    </w:r>
    <w:r w:rsidRPr="00B462F6">
      <w:rPr>
        <w:rFonts w:ascii="Gotham Medium" w:hAnsi="Gotham Medium"/>
        <w:color w:val="064158"/>
        <w:sz w:val="13"/>
        <w:szCs w:val="13"/>
      </w:rPr>
      <w:t>PHONE 225-339-3800</w:t>
    </w:r>
    <w:r>
      <w:rPr>
        <w:rFonts w:ascii="Gotham Medium" w:hAnsi="Gotham Medium"/>
        <w:color w:val="064158"/>
        <w:sz w:val="13"/>
        <w:szCs w:val="13"/>
      </w:rPr>
      <w:t xml:space="preserve"> </w:t>
    </w:r>
    <w:r w:rsidRPr="00B462F6">
      <w:rPr>
        <w:rFonts w:ascii="Gotham Medium" w:hAnsi="Gotham Medium"/>
        <w:color w:val="064158"/>
        <w:sz w:val="13"/>
        <w:szCs w:val="13"/>
      </w:rPr>
      <w:t xml:space="preserve"> | </w:t>
    </w:r>
    <w:r>
      <w:rPr>
        <w:rFonts w:ascii="Gotham Medium" w:hAnsi="Gotham Medium"/>
        <w:color w:val="064158"/>
        <w:sz w:val="13"/>
        <w:szCs w:val="13"/>
      </w:rPr>
      <w:t xml:space="preserve"> </w:t>
    </w:r>
    <w:r w:rsidRPr="00B462F6">
      <w:rPr>
        <w:rFonts w:ascii="Gotham Medium" w:hAnsi="Gotham Medium"/>
        <w:color w:val="064158"/>
        <w:sz w:val="13"/>
        <w:szCs w:val="13"/>
      </w:rPr>
      <w:t>FAX 225-339-3870</w:t>
    </w:r>
    <w:r>
      <w:rPr>
        <w:rFonts w:ascii="Gotham Medium" w:hAnsi="Gotham Medium"/>
        <w:color w:val="064158"/>
        <w:sz w:val="13"/>
        <w:szCs w:val="13"/>
      </w:rPr>
      <w:t xml:space="preserve"> </w:t>
    </w:r>
    <w:r w:rsidRPr="00B462F6">
      <w:rPr>
        <w:rFonts w:ascii="Gotham Medium" w:hAnsi="Gotham Medium"/>
        <w:color w:val="064158"/>
        <w:sz w:val="13"/>
        <w:szCs w:val="13"/>
      </w:rPr>
      <w:t xml:space="preserve"> |</w:t>
    </w:r>
    <w:r>
      <w:rPr>
        <w:rFonts w:ascii="Gotham Medium" w:hAnsi="Gotham Medium"/>
        <w:color w:val="064158"/>
        <w:sz w:val="13"/>
        <w:szCs w:val="13"/>
      </w:rPr>
      <w:t xml:space="preserve"> </w:t>
    </w:r>
    <w:r w:rsidRPr="00B462F6">
      <w:rPr>
        <w:rFonts w:ascii="Gotham Medium" w:hAnsi="Gotham Medium"/>
        <w:color w:val="064158"/>
        <w:sz w:val="13"/>
        <w:szCs w:val="13"/>
      </w:rPr>
      <w:t xml:space="preserve"> LLA.LA.GOV</w:t>
    </w:r>
    <w:r>
      <w:rPr>
        <w:smallCaps/>
        <w:noProof/>
        <w:color w:val="053A63"/>
        <w:sz w:val="40"/>
        <w:szCs w:val="40"/>
      </w:rPr>
      <w:drawing>
        <wp:anchor distT="0" distB="0" distL="114300" distR="114300" simplePos="0" relativeHeight="251656704" behindDoc="1" locked="1" layoutInCell="1" allowOverlap="1" wp14:anchorId="7F58E221" wp14:editId="7082E626">
          <wp:simplePos x="0" y="0"/>
          <wp:positionH relativeFrom="column">
            <wp:posOffset>-923925</wp:posOffset>
          </wp:positionH>
          <wp:positionV relativeFrom="page">
            <wp:posOffset>7689850</wp:posOffset>
          </wp:positionV>
          <wp:extent cx="7772400" cy="2362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36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EB4">
      <w:rPr>
        <w:rFonts w:ascii="Gotham Medium" w:hAnsi="Gotham Medium"/>
        <w:color w:val="064158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51013" w14:textId="77777777" w:rsidR="008017AC" w:rsidRDefault="008017AC" w:rsidP="00B462F6">
      <w:r>
        <w:separator/>
      </w:r>
    </w:p>
  </w:footnote>
  <w:footnote w:type="continuationSeparator" w:id="0">
    <w:p w14:paraId="08D7710B" w14:textId="77777777" w:rsidR="008017AC" w:rsidRDefault="008017AC" w:rsidP="00B462F6">
      <w:r>
        <w:continuationSeparator/>
      </w:r>
    </w:p>
  </w:footnote>
  <w:footnote w:id="1">
    <w:p w14:paraId="65E76055" w14:textId="1F494DDE" w:rsidR="00CC33F7" w:rsidRDefault="00CC33F7">
      <w:pPr>
        <w:pStyle w:val="FootnoteText"/>
      </w:pPr>
      <w:r>
        <w:rPr>
          <w:rStyle w:val="FootnoteReference"/>
        </w:rPr>
        <w:footnoteRef/>
      </w:r>
      <w:r>
        <w:t xml:space="preserve"> GASB Cod. Sec. 1600</w:t>
      </w:r>
      <w:r w:rsidR="00EA25A2">
        <w:t>.103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B4F2B" w14:textId="24147F7A" w:rsidR="00733CD6" w:rsidRDefault="00733CD6" w:rsidP="00D419BD">
    <w:pPr>
      <w:pStyle w:val="Header"/>
      <w:framePr w:wrap="none" w:vAnchor="text" w:hAnchor="margin" w:xAlign="right" w:y="1"/>
      <w:rPr>
        <w:rStyle w:val="PageNumber"/>
      </w:rPr>
    </w:pPr>
  </w:p>
  <w:sdt>
    <w:sdtPr>
      <w:rPr>
        <w:rStyle w:val="PageNumber"/>
      </w:rPr>
      <w:id w:val="-167424676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D868592" w14:textId="77777777" w:rsidR="00733CD6" w:rsidRDefault="00733CD6" w:rsidP="00D419B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6B4606" w14:textId="77777777" w:rsidR="00733CD6" w:rsidRDefault="00733CD6" w:rsidP="00733CD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7844" w14:textId="416B2730" w:rsidR="00E542C9" w:rsidRPr="003D6EE9" w:rsidRDefault="00E542C9" w:rsidP="00E542C9">
    <w:pPr>
      <w:spacing w:line="276" w:lineRule="auto"/>
      <w:ind w:right="360"/>
      <w:rPr>
        <w:rFonts w:ascii="Avenir Next LT Pro" w:eastAsia="Times New Roman" w:hAnsi="Avenir Next LT Pro" w:cs="Open Sans"/>
        <w:color w:val="149DDA"/>
        <w:sz w:val="20"/>
        <w:szCs w:val="20"/>
        <w:shd w:val="clear" w:color="auto" w:fill="FFFFFF"/>
      </w:rPr>
    </w:pPr>
    <w:r w:rsidRPr="003D6EE9">
      <w:rPr>
        <w:rFonts w:ascii="Avenir Next LT Pro" w:eastAsia="Times New Roman" w:hAnsi="Avenir Next LT Pro" w:cs="Arial"/>
        <w:color w:val="149DDA"/>
        <w:sz w:val="20"/>
        <w:szCs w:val="20"/>
      </w:rPr>
      <w:t>Michael J. "Mike" Waguespack</w:t>
    </w:r>
    <w:r w:rsidRPr="003D6EE9">
      <w:rPr>
        <w:rFonts w:ascii="Avenir Next LT Pro" w:eastAsia="Times New Roman" w:hAnsi="Avenir Next LT Pro" w:cs="Open Sans"/>
        <w:color w:val="149DDA"/>
        <w:sz w:val="20"/>
        <w:szCs w:val="20"/>
        <w:shd w:val="clear" w:color="auto" w:fill="FFFFFF"/>
      </w:rPr>
      <w:t> </w:t>
    </w:r>
  </w:p>
  <w:p w14:paraId="18FBC16A" w14:textId="4A2EA8B6" w:rsidR="00E542C9" w:rsidRPr="003D6EE9" w:rsidRDefault="0036044D" w:rsidP="00E542C9">
    <w:pPr>
      <w:spacing w:line="276" w:lineRule="auto"/>
      <w:ind w:right="360"/>
      <w:rPr>
        <w:rFonts w:ascii="Avenir Next LT Pro" w:eastAsia="Times New Roman" w:hAnsi="Avenir Next LT Pro" w:cs="Arial"/>
        <w:color w:val="149DDA"/>
        <w:sz w:val="20"/>
        <w:szCs w:val="20"/>
      </w:rPr>
    </w:pPr>
    <w:r w:rsidRPr="00B82024">
      <w:rPr>
        <w:rFonts w:ascii="Avenir Next LT Pro" w:eastAsia="Times New Roman" w:hAnsi="Avenir Next LT Pro" w:cs="Arial"/>
        <w:color w:val="149DDA"/>
        <w:sz w:val="20"/>
        <w:szCs w:val="20"/>
      </w:rPr>
      <w:t xml:space="preserve">July </w:t>
    </w:r>
    <w:r w:rsidR="00B82024" w:rsidRPr="00B82024">
      <w:rPr>
        <w:rFonts w:ascii="Avenir Next LT Pro" w:eastAsia="Times New Roman" w:hAnsi="Avenir Next LT Pro" w:cs="Arial"/>
        <w:color w:val="149DDA"/>
        <w:sz w:val="20"/>
        <w:szCs w:val="20"/>
      </w:rPr>
      <w:t>27</w:t>
    </w:r>
    <w:r w:rsidR="00E542C9" w:rsidRPr="00B82024">
      <w:rPr>
        <w:rFonts w:ascii="Avenir Next LT Pro" w:eastAsia="Times New Roman" w:hAnsi="Avenir Next LT Pro" w:cs="Arial"/>
        <w:color w:val="149DDA"/>
        <w:sz w:val="20"/>
        <w:szCs w:val="20"/>
      </w:rPr>
      <w:t>, 202</w:t>
    </w:r>
    <w:r w:rsidR="00411558" w:rsidRPr="00B82024">
      <w:rPr>
        <w:rFonts w:ascii="Avenir Next LT Pro" w:eastAsia="Times New Roman" w:hAnsi="Avenir Next LT Pro" w:cs="Arial"/>
        <w:color w:val="149DDA"/>
        <w:sz w:val="20"/>
        <w:szCs w:val="20"/>
      </w:rPr>
      <w:t>3</w:t>
    </w:r>
  </w:p>
  <w:sdt>
    <w:sdtPr>
      <w:rPr>
        <w:rFonts w:ascii="Avenir Next LT Pro" w:hAnsi="Avenir Next LT Pro"/>
      </w:rPr>
      <w:id w:val="673924340"/>
      <w:docPartObj>
        <w:docPartGallery w:val="Page Numbers (Top of Page)"/>
        <w:docPartUnique/>
      </w:docPartObj>
    </w:sdtPr>
    <w:sdtEndPr>
      <w:rPr>
        <w:color w:val="00B0F0"/>
        <w:sz w:val="20"/>
      </w:rPr>
    </w:sdtEndPr>
    <w:sdtContent>
      <w:p w14:paraId="7E5A367C" w14:textId="65E933EC" w:rsidR="00E542C9" w:rsidRPr="003D6EE9" w:rsidRDefault="00E542C9" w:rsidP="00E542C9">
        <w:pPr>
          <w:pStyle w:val="Header"/>
          <w:rPr>
            <w:rFonts w:ascii="Avenir Next LT Pro" w:hAnsi="Avenir Next LT Pro"/>
            <w:color w:val="00B0F0"/>
            <w:sz w:val="20"/>
          </w:rPr>
        </w:pPr>
        <w:r w:rsidRPr="003D6EE9">
          <w:rPr>
            <w:rFonts w:ascii="Avenir Next LT Pro" w:hAnsi="Avenir Next LT Pro"/>
            <w:color w:val="00B0F0"/>
            <w:sz w:val="20"/>
          </w:rPr>
          <w:t xml:space="preserve">Page </w:t>
        </w:r>
        <w:r w:rsidRPr="003D6EE9">
          <w:rPr>
            <w:rFonts w:ascii="Avenir Next LT Pro" w:hAnsi="Avenir Next LT Pro"/>
            <w:bCs/>
            <w:color w:val="00B0F0"/>
            <w:sz w:val="20"/>
          </w:rPr>
          <w:fldChar w:fldCharType="begin"/>
        </w:r>
        <w:r w:rsidRPr="003D6EE9">
          <w:rPr>
            <w:rFonts w:ascii="Avenir Next LT Pro" w:hAnsi="Avenir Next LT Pro"/>
            <w:bCs/>
            <w:color w:val="00B0F0"/>
            <w:sz w:val="20"/>
          </w:rPr>
          <w:instrText xml:space="preserve"> PAGE </w:instrText>
        </w:r>
        <w:r w:rsidRPr="003D6EE9">
          <w:rPr>
            <w:rFonts w:ascii="Avenir Next LT Pro" w:hAnsi="Avenir Next LT Pro"/>
            <w:bCs/>
            <w:color w:val="00B0F0"/>
            <w:sz w:val="20"/>
          </w:rPr>
          <w:fldChar w:fldCharType="separate"/>
        </w:r>
        <w:r w:rsidRPr="003D6EE9">
          <w:rPr>
            <w:rFonts w:ascii="Avenir Next LT Pro" w:hAnsi="Avenir Next LT Pro"/>
            <w:bCs/>
            <w:noProof/>
            <w:color w:val="00B0F0"/>
            <w:sz w:val="20"/>
          </w:rPr>
          <w:t>2</w:t>
        </w:r>
        <w:r w:rsidRPr="003D6EE9">
          <w:rPr>
            <w:rFonts w:ascii="Avenir Next LT Pro" w:hAnsi="Avenir Next LT Pro"/>
            <w:bCs/>
            <w:color w:val="00B0F0"/>
            <w:sz w:val="20"/>
          </w:rPr>
          <w:fldChar w:fldCharType="end"/>
        </w:r>
        <w:r w:rsidRPr="003D6EE9">
          <w:rPr>
            <w:rFonts w:ascii="Avenir Next LT Pro" w:hAnsi="Avenir Next LT Pro"/>
            <w:color w:val="00B0F0"/>
            <w:sz w:val="20"/>
          </w:rPr>
          <w:t xml:space="preserve"> of </w:t>
        </w:r>
        <w:r w:rsidRPr="003D6EE9">
          <w:rPr>
            <w:rFonts w:ascii="Avenir Next LT Pro" w:hAnsi="Avenir Next LT Pro"/>
            <w:bCs/>
            <w:color w:val="00B0F0"/>
            <w:sz w:val="20"/>
          </w:rPr>
          <w:fldChar w:fldCharType="begin"/>
        </w:r>
        <w:r w:rsidRPr="003D6EE9">
          <w:rPr>
            <w:rFonts w:ascii="Avenir Next LT Pro" w:hAnsi="Avenir Next LT Pro"/>
            <w:bCs/>
            <w:color w:val="00B0F0"/>
            <w:sz w:val="20"/>
          </w:rPr>
          <w:instrText xml:space="preserve"> NUMPAGES  </w:instrText>
        </w:r>
        <w:r w:rsidRPr="003D6EE9">
          <w:rPr>
            <w:rFonts w:ascii="Avenir Next LT Pro" w:hAnsi="Avenir Next LT Pro"/>
            <w:bCs/>
            <w:color w:val="00B0F0"/>
            <w:sz w:val="20"/>
          </w:rPr>
          <w:fldChar w:fldCharType="separate"/>
        </w:r>
        <w:r w:rsidRPr="003D6EE9">
          <w:rPr>
            <w:rFonts w:ascii="Avenir Next LT Pro" w:hAnsi="Avenir Next LT Pro"/>
            <w:bCs/>
            <w:noProof/>
            <w:color w:val="00B0F0"/>
            <w:sz w:val="20"/>
          </w:rPr>
          <w:t>2</w:t>
        </w:r>
        <w:r w:rsidRPr="003D6EE9">
          <w:rPr>
            <w:rFonts w:ascii="Avenir Next LT Pro" w:hAnsi="Avenir Next LT Pro"/>
            <w:bCs/>
            <w:color w:val="00B0F0"/>
            <w:sz w:val="20"/>
          </w:rPr>
          <w:fldChar w:fldCharType="end"/>
        </w:r>
      </w:p>
    </w:sdtContent>
  </w:sdt>
  <w:p w14:paraId="1605D9AB" w14:textId="1A5E0883" w:rsidR="00435566" w:rsidRPr="003D6EE9" w:rsidRDefault="00435566">
    <w:pPr>
      <w:pStyle w:val="Header"/>
      <w:rPr>
        <w:rFonts w:ascii="Avenir Next LT Pro" w:hAnsi="Avenir Next LT Pro"/>
      </w:rPr>
    </w:pPr>
  </w:p>
  <w:p w14:paraId="24795A5D" w14:textId="77777777" w:rsidR="00E542C9" w:rsidRPr="003D6EE9" w:rsidRDefault="00E542C9">
    <w:pPr>
      <w:pStyle w:val="Header"/>
      <w:rPr>
        <w:rFonts w:ascii="Avenir Next LT Pro" w:hAnsi="Avenir Next LT P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8C751" w14:textId="6C917A7A" w:rsidR="00435566" w:rsidRDefault="00435566">
    <w:pPr>
      <w:pStyle w:val="Header"/>
    </w:pPr>
    <w:r>
      <w:rPr>
        <w:smallCaps/>
        <w:noProof/>
        <w:color w:val="053A63"/>
        <w:sz w:val="40"/>
        <w:szCs w:val="40"/>
      </w:rPr>
      <w:drawing>
        <wp:anchor distT="0" distB="0" distL="114300" distR="114300" simplePos="0" relativeHeight="251657728" behindDoc="1" locked="1" layoutInCell="1" allowOverlap="1" wp14:anchorId="17FC04E8" wp14:editId="51D411CB">
          <wp:simplePos x="0" y="0"/>
          <wp:positionH relativeFrom="column">
            <wp:posOffset>-920115</wp:posOffset>
          </wp:positionH>
          <wp:positionV relativeFrom="page">
            <wp:posOffset>0</wp:posOffset>
          </wp:positionV>
          <wp:extent cx="7772400" cy="15621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F6"/>
    <w:rsid w:val="00024B2B"/>
    <w:rsid w:val="000343F9"/>
    <w:rsid w:val="000A2080"/>
    <w:rsid w:val="000A650E"/>
    <w:rsid w:val="000B2E6C"/>
    <w:rsid w:val="000D7156"/>
    <w:rsid w:val="00107CD8"/>
    <w:rsid w:val="00146283"/>
    <w:rsid w:val="00165156"/>
    <w:rsid w:val="001849DB"/>
    <w:rsid w:val="001A6FDC"/>
    <w:rsid w:val="001C647B"/>
    <w:rsid w:val="001C7BED"/>
    <w:rsid w:val="002145CB"/>
    <w:rsid w:val="00241AFB"/>
    <w:rsid w:val="0025259B"/>
    <w:rsid w:val="0026511A"/>
    <w:rsid w:val="00273BF6"/>
    <w:rsid w:val="002A6509"/>
    <w:rsid w:val="002B59B0"/>
    <w:rsid w:val="002C2F77"/>
    <w:rsid w:val="002E34EA"/>
    <w:rsid w:val="002F6BA8"/>
    <w:rsid w:val="00325A5B"/>
    <w:rsid w:val="003307D5"/>
    <w:rsid w:val="0036044D"/>
    <w:rsid w:val="00365F46"/>
    <w:rsid w:val="003A613B"/>
    <w:rsid w:val="003B19D9"/>
    <w:rsid w:val="003D6EE9"/>
    <w:rsid w:val="00411558"/>
    <w:rsid w:val="00435566"/>
    <w:rsid w:val="00443DC2"/>
    <w:rsid w:val="00446329"/>
    <w:rsid w:val="00456EB4"/>
    <w:rsid w:val="004727DC"/>
    <w:rsid w:val="004A621B"/>
    <w:rsid w:val="004E60CA"/>
    <w:rsid w:val="00505C63"/>
    <w:rsid w:val="00510603"/>
    <w:rsid w:val="005159CB"/>
    <w:rsid w:val="005518F6"/>
    <w:rsid w:val="00556AA6"/>
    <w:rsid w:val="00565B8C"/>
    <w:rsid w:val="005D6000"/>
    <w:rsid w:val="005F446F"/>
    <w:rsid w:val="00690410"/>
    <w:rsid w:val="00696C8C"/>
    <w:rsid w:val="006A5EEB"/>
    <w:rsid w:val="006B342B"/>
    <w:rsid w:val="006B63CC"/>
    <w:rsid w:val="006D55B4"/>
    <w:rsid w:val="00710242"/>
    <w:rsid w:val="00724628"/>
    <w:rsid w:val="00733CD6"/>
    <w:rsid w:val="00743AA2"/>
    <w:rsid w:val="00745ABE"/>
    <w:rsid w:val="0077215B"/>
    <w:rsid w:val="00787C3F"/>
    <w:rsid w:val="007A6BE0"/>
    <w:rsid w:val="007B0ADB"/>
    <w:rsid w:val="007D2D28"/>
    <w:rsid w:val="007E5A6D"/>
    <w:rsid w:val="008017AC"/>
    <w:rsid w:val="00806C40"/>
    <w:rsid w:val="00826E1F"/>
    <w:rsid w:val="0083063C"/>
    <w:rsid w:val="00831039"/>
    <w:rsid w:val="00881902"/>
    <w:rsid w:val="008A7236"/>
    <w:rsid w:val="008B6EB4"/>
    <w:rsid w:val="008C74B7"/>
    <w:rsid w:val="008F32FC"/>
    <w:rsid w:val="009122C9"/>
    <w:rsid w:val="0094313A"/>
    <w:rsid w:val="00964FC6"/>
    <w:rsid w:val="009713AF"/>
    <w:rsid w:val="009C3DDB"/>
    <w:rsid w:val="009D6900"/>
    <w:rsid w:val="009D73CC"/>
    <w:rsid w:val="00A06996"/>
    <w:rsid w:val="00A40E27"/>
    <w:rsid w:val="00A75A8A"/>
    <w:rsid w:val="00B22ADD"/>
    <w:rsid w:val="00B25F6D"/>
    <w:rsid w:val="00B462F6"/>
    <w:rsid w:val="00B46323"/>
    <w:rsid w:val="00B70E41"/>
    <w:rsid w:val="00B717AB"/>
    <w:rsid w:val="00B82024"/>
    <w:rsid w:val="00BD59C1"/>
    <w:rsid w:val="00BE5358"/>
    <w:rsid w:val="00BF6CA2"/>
    <w:rsid w:val="00C22119"/>
    <w:rsid w:val="00C34060"/>
    <w:rsid w:val="00C623CF"/>
    <w:rsid w:val="00C85963"/>
    <w:rsid w:val="00CC14D5"/>
    <w:rsid w:val="00CC33F7"/>
    <w:rsid w:val="00CD5ECA"/>
    <w:rsid w:val="00CF1F90"/>
    <w:rsid w:val="00D17A15"/>
    <w:rsid w:val="00D25E5F"/>
    <w:rsid w:val="00D55D47"/>
    <w:rsid w:val="00D81DBF"/>
    <w:rsid w:val="00D86960"/>
    <w:rsid w:val="00DD02DA"/>
    <w:rsid w:val="00DD3911"/>
    <w:rsid w:val="00DF7D47"/>
    <w:rsid w:val="00E10161"/>
    <w:rsid w:val="00E22F46"/>
    <w:rsid w:val="00E51733"/>
    <w:rsid w:val="00E542C9"/>
    <w:rsid w:val="00E7084C"/>
    <w:rsid w:val="00E74BB4"/>
    <w:rsid w:val="00E774AD"/>
    <w:rsid w:val="00EA25A2"/>
    <w:rsid w:val="00EA395D"/>
    <w:rsid w:val="00EC3D2D"/>
    <w:rsid w:val="00ED4393"/>
    <w:rsid w:val="00ED5591"/>
    <w:rsid w:val="00F450C2"/>
    <w:rsid w:val="00F915A2"/>
    <w:rsid w:val="00FC4ED8"/>
    <w:rsid w:val="00FC7B0C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30BEF9"/>
  <w15:chartTrackingRefBased/>
  <w15:docId w15:val="{0A828D35-EC8F-5E41-945B-07EA30B2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2F6"/>
  </w:style>
  <w:style w:type="paragraph" w:styleId="Footer">
    <w:name w:val="footer"/>
    <w:basedOn w:val="Normal"/>
    <w:link w:val="FooterChar"/>
    <w:uiPriority w:val="99"/>
    <w:unhideWhenUsed/>
    <w:rsid w:val="00B46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2F6"/>
  </w:style>
  <w:style w:type="character" w:styleId="Strong">
    <w:name w:val="Strong"/>
    <w:basedOn w:val="DefaultParagraphFont"/>
    <w:uiPriority w:val="22"/>
    <w:qFormat/>
    <w:rsid w:val="008B6EB4"/>
    <w:rPr>
      <w:b/>
      <w:bCs/>
    </w:rPr>
  </w:style>
  <w:style w:type="character" w:customStyle="1" w:styleId="apple-converted-space">
    <w:name w:val="apple-converted-space"/>
    <w:basedOn w:val="DefaultParagraphFont"/>
    <w:rsid w:val="008B6EB4"/>
  </w:style>
  <w:style w:type="character" w:styleId="PageNumber">
    <w:name w:val="page number"/>
    <w:basedOn w:val="DefaultParagraphFont"/>
    <w:uiPriority w:val="99"/>
    <w:semiHidden/>
    <w:unhideWhenUsed/>
    <w:rsid w:val="008B6EB4"/>
  </w:style>
  <w:style w:type="character" w:styleId="Hyperlink">
    <w:name w:val="Hyperlink"/>
    <w:basedOn w:val="DefaultParagraphFont"/>
    <w:uiPriority w:val="99"/>
    <w:unhideWhenUsed/>
    <w:rsid w:val="00265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1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5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A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55D4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33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33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3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gis.la.gov/Legis/Law.aspx?d=84127" TargetMode="External"/><Relationship Id="rId11" Type="http://schemas.openxmlformats.org/officeDocument/2006/relationships/hyperlink" Target="https://gasb.org/page/ShowDocument?path=GASBS%252096.pdf&amp;acceptedDisclaimer=true&amp;title=GASB+STATEMENT+NO.+96%2C+SUBSCRIPTION-BASED+INFORMATION+TECHNOLOGY+ARRANGEMENTS&amp;Submit=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gasb.org/page/ShowDocument?path=GASBS87.pdf&amp;acceptedDisclaimer=true&amp;title=GASB+STATEMENT+NO.+87%2C+LEASES&amp;Submit=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llison@lla.la.gov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Gayle Fransen</cp:lastModifiedBy>
  <cp:revision>2</cp:revision>
  <cp:lastPrinted>2023-07-21T14:16:00Z</cp:lastPrinted>
  <dcterms:created xsi:type="dcterms:W3CDTF">2023-07-28T12:08:00Z</dcterms:created>
  <dcterms:modified xsi:type="dcterms:W3CDTF">2023-07-28T12:08:00Z</dcterms:modified>
</cp:coreProperties>
</file>